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67C7995B" w14:textId="6F532C45" w:rsidR="005F3436" w:rsidRPr="005E0F8C" w:rsidRDefault="005F3436" w:rsidP="005472E9">
      <w:pPr>
        <w:spacing w:after="0" w:line="240" w:lineRule="auto"/>
        <w:jc w:val="both"/>
        <w:rPr>
          <w:rFonts w:ascii="Work Sans" w:hAnsi="Work Sans" w:cs="Arial"/>
          <w:b/>
          <w:bCs/>
          <w:sz w:val="24"/>
        </w:rPr>
      </w:pPr>
    </w:p>
    <w:p w14:paraId="59299FC9" w14:textId="7E6B0423" w:rsidR="00473B84" w:rsidRDefault="00473B84" w:rsidP="005472E9">
      <w:pPr>
        <w:spacing w:after="0" w:line="240" w:lineRule="auto"/>
        <w:jc w:val="both"/>
        <w:rPr>
          <w:rFonts w:ascii="Work Sans" w:hAnsi="Work Sans" w:cs="Arial"/>
          <w:sz w:val="24"/>
        </w:rPr>
      </w:pPr>
      <w:r w:rsidRPr="00473B84">
        <w:rPr>
          <w:rFonts w:ascii="Work Sans" w:hAnsi="Work Sans" w:cs="Arial"/>
          <w:sz w:val="24"/>
        </w:rPr>
        <w:t xml:space="preserve">La Dirección de Hidrocarburos acusa recibo de la comunicación </w:t>
      </w:r>
      <w:r w:rsidR="005472E9">
        <w:rPr>
          <w:rFonts w:ascii="Work Sans" w:hAnsi="Work Sans" w:cs="Arial"/>
          <w:sz w:val="24"/>
        </w:rPr>
        <w:t>con radicado de entrada</w:t>
      </w:r>
      <w:r w:rsidR="00015199">
        <w:rPr>
          <w:rFonts w:ascii="Work Sans" w:hAnsi="Work Sans" w:cs="Arial"/>
          <w:sz w:val="24"/>
        </w:rPr>
        <w:t xml:space="preserve"> </w:t>
      </w:r>
      <w:r w:rsidR="00015199" w:rsidRPr="00015199">
        <w:rPr>
          <w:rFonts w:ascii="Work Sans" w:hAnsi="Work Sans" w:cs="Arial"/>
          <w:sz w:val="24"/>
        </w:rPr>
        <w:t>1-2026-022197</w:t>
      </w:r>
      <w:r w:rsidR="00015199">
        <w:rPr>
          <w:rFonts w:ascii="Work Sans" w:hAnsi="Work Sans" w:cs="Arial"/>
          <w:sz w:val="24"/>
        </w:rPr>
        <w:t xml:space="preserve"> del 12 de mayo de 2026, </w:t>
      </w:r>
      <w:r w:rsidRPr="00473B84">
        <w:rPr>
          <w:rFonts w:ascii="Work Sans" w:hAnsi="Work Sans" w:cs="Arial"/>
          <w:sz w:val="24"/>
        </w:rPr>
        <w:t>remitida por Oleoducto Central S.A.</w:t>
      </w:r>
      <w:r w:rsidR="005472E9">
        <w:rPr>
          <w:rFonts w:ascii="Work Sans" w:hAnsi="Work Sans" w:cs="Arial"/>
          <w:sz w:val="24"/>
        </w:rPr>
        <w:t xml:space="preserve">, en adelante </w:t>
      </w:r>
      <w:r w:rsidRPr="00473B84">
        <w:rPr>
          <w:rFonts w:ascii="Work Sans" w:hAnsi="Work Sans" w:cs="Arial"/>
          <w:sz w:val="24"/>
        </w:rPr>
        <w:t>OCENSA</w:t>
      </w:r>
      <w:r w:rsidR="005472E9">
        <w:rPr>
          <w:rFonts w:ascii="Work Sans" w:hAnsi="Work Sans" w:cs="Arial"/>
          <w:sz w:val="24"/>
        </w:rPr>
        <w:t xml:space="preserve"> S.A</w:t>
      </w:r>
      <w:r w:rsidRPr="00473B84">
        <w:rPr>
          <w:rFonts w:ascii="Work Sans" w:hAnsi="Work Sans" w:cs="Arial"/>
          <w:sz w:val="24"/>
        </w:rPr>
        <w:t xml:space="preserve">, mediante la cual la presenta respuesta </w:t>
      </w:r>
      <w:r w:rsidR="005472E9">
        <w:rPr>
          <w:rFonts w:ascii="Work Sans" w:hAnsi="Work Sans" w:cs="Arial"/>
          <w:sz w:val="24"/>
        </w:rPr>
        <w:t xml:space="preserve">frente </w:t>
      </w:r>
      <w:r w:rsidRPr="00473B84">
        <w:rPr>
          <w:rFonts w:ascii="Work Sans" w:hAnsi="Work Sans" w:cs="Arial"/>
          <w:sz w:val="24"/>
        </w:rPr>
        <w:t>al oficio con radicado 2-2026-012670.</w:t>
      </w:r>
    </w:p>
    <w:p w14:paraId="0B51D05B" w14:textId="77777777" w:rsidR="005472E9" w:rsidRPr="00473B84" w:rsidRDefault="005472E9" w:rsidP="005472E9">
      <w:pPr>
        <w:spacing w:after="0" w:line="240" w:lineRule="auto"/>
        <w:jc w:val="both"/>
        <w:rPr>
          <w:rFonts w:ascii="Work Sans" w:hAnsi="Work Sans" w:cs="Arial"/>
          <w:sz w:val="24"/>
        </w:rPr>
      </w:pPr>
    </w:p>
    <w:p w14:paraId="2CE3C108" w14:textId="7B198820" w:rsidR="00473B84" w:rsidRPr="00473B84" w:rsidRDefault="00473B84" w:rsidP="005472E9">
      <w:pPr>
        <w:spacing w:after="0" w:line="240" w:lineRule="auto"/>
        <w:jc w:val="both"/>
        <w:rPr>
          <w:rFonts w:ascii="Work Sans" w:hAnsi="Work Sans" w:cs="Arial"/>
          <w:sz w:val="24"/>
        </w:rPr>
      </w:pPr>
      <w:r w:rsidRPr="00473B84">
        <w:rPr>
          <w:rFonts w:ascii="Work Sans" w:hAnsi="Work Sans" w:cs="Arial"/>
          <w:sz w:val="24"/>
        </w:rPr>
        <w:t xml:space="preserve">En atención a los planteamientos expuestos por la sociedad, y una vez revisado el contenido de la comunicación allegada, así como las consideraciones técnicas y jurídicas </w:t>
      </w:r>
      <w:r w:rsidR="005472E9">
        <w:rPr>
          <w:rFonts w:ascii="Work Sans" w:hAnsi="Work Sans" w:cs="Arial"/>
          <w:sz w:val="24"/>
        </w:rPr>
        <w:t>ex</w:t>
      </w:r>
      <w:r w:rsidRPr="00473B84">
        <w:rPr>
          <w:rFonts w:ascii="Work Sans" w:hAnsi="Work Sans" w:cs="Arial"/>
          <w:sz w:val="24"/>
        </w:rPr>
        <w:t>puestas por OCENSA</w:t>
      </w:r>
      <w:r w:rsidR="005472E9">
        <w:rPr>
          <w:rFonts w:ascii="Work Sans" w:hAnsi="Work Sans" w:cs="Arial"/>
          <w:sz w:val="24"/>
        </w:rPr>
        <w:t xml:space="preserve"> S.A, </w:t>
      </w:r>
      <w:r w:rsidRPr="00473B84">
        <w:rPr>
          <w:rFonts w:ascii="Work Sans" w:hAnsi="Work Sans" w:cs="Arial"/>
          <w:sz w:val="24"/>
        </w:rPr>
        <w:t>en el marco de la actuación administrativa en curso, esta Dirección se permite señalar que las observaciones formuladas serán analizadas conforme a las competencias atribuidas a esta dependencia y de acuerdo con las disposiciones legales y regulatorias aplicables.</w:t>
      </w:r>
    </w:p>
    <w:p w14:paraId="731F66C0" w14:textId="77777777" w:rsidR="008527FF" w:rsidRDefault="008527FF" w:rsidP="005472E9">
      <w:pPr>
        <w:suppressAutoHyphens w:val="0"/>
        <w:spacing w:after="0" w:line="240" w:lineRule="auto"/>
        <w:jc w:val="both"/>
        <w:rPr>
          <w:rFonts w:ascii="Work Sans" w:hAnsi="Work Sans" w:cs="Arial"/>
          <w:sz w:val="24"/>
        </w:rPr>
      </w:pPr>
    </w:p>
    <w:p w14:paraId="33B32D99" w14:textId="4753C0FC" w:rsidR="00473B84" w:rsidRDefault="00473B84" w:rsidP="005472E9">
      <w:pPr>
        <w:suppressAutoHyphens w:val="0"/>
        <w:spacing w:after="0" w:line="240" w:lineRule="auto"/>
        <w:jc w:val="both"/>
        <w:rPr>
          <w:rFonts w:ascii="Work Sans" w:hAnsi="Work Sans" w:cs="Arial"/>
          <w:sz w:val="24"/>
        </w:rPr>
      </w:pPr>
      <w:r w:rsidRPr="00473B84">
        <w:rPr>
          <w:rFonts w:ascii="Work Sans" w:hAnsi="Work Sans" w:cs="Arial"/>
          <w:sz w:val="24"/>
        </w:rPr>
        <w:t xml:space="preserve">En ese sentido, la Dirección de Hidrocarburos procede </w:t>
      </w:r>
      <w:r w:rsidR="005472E9">
        <w:rPr>
          <w:rFonts w:ascii="Work Sans" w:hAnsi="Work Sans" w:cs="Arial"/>
          <w:sz w:val="24"/>
        </w:rPr>
        <w:t>emitiendo</w:t>
      </w:r>
      <w:r w:rsidRPr="00473B84">
        <w:rPr>
          <w:rFonts w:ascii="Work Sans" w:hAnsi="Work Sans" w:cs="Arial"/>
          <w:sz w:val="24"/>
        </w:rPr>
        <w:t xml:space="preserve"> respuesta </w:t>
      </w:r>
      <w:r w:rsidR="005472E9">
        <w:rPr>
          <w:rFonts w:ascii="Work Sans" w:hAnsi="Work Sans" w:cs="Arial"/>
          <w:sz w:val="24"/>
        </w:rPr>
        <w:t xml:space="preserve">frente </w:t>
      </w:r>
      <w:r w:rsidRPr="00473B84">
        <w:rPr>
          <w:rFonts w:ascii="Work Sans" w:hAnsi="Work Sans" w:cs="Arial"/>
          <w:sz w:val="24"/>
        </w:rPr>
        <w:t>a las solicitudes y consideraciones presentadas, en los siguientes términos:</w:t>
      </w:r>
    </w:p>
    <w:p w14:paraId="604161DA" w14:textId="77777777" w:rsidR="008527FF" w:rsidRDefault="008527FF" w:rsidP="005472E9">
      <w:pPr>
        <w:suppressAutoHyphens w:val="0"/>
        <w:spacing w:after="0" w:line="240" w:lineRule="auto"/>
        <w:jc w:val="both"/>
        <w:rPr>
          <w:rFonts w:ascii="Work Sans" w:hAnsi="Work Sans" w:cs="Arial"/>
          <w:sz w:val="24"/>
        </w:rPr>
      </w:pPr>
    </w:p>
    <w:p w14:paraId="2155719B" w14:textId="54D16C82" w:rsidR="005F3436" w:rsidRDefault="005F3436" w:rsidP="005472E9">
      <w:pPr>
        <w:pStyle w:val="Prrafodelista"/>
        <w:numPr>
          <w:ilvl w:val="0"/>
          <w:numId w:val="16"/>
        </w:numPr>
        <w:suppressAutoHyphens w:val="0"/>
        <w:spacing w:after="0" w:line="240" w:lineRule="auto"/>
        <w:ind w:left="0"/>
        <w:contextualSpacing w:val="0"/>
        <w:jc w:val="both"/>
        <w:rPr>
          <w:rFonts w:ascii="Work Sans" w:hAnsi="Work Sans" w:cs="Arial"/>
          <w:b/>
          <w:bCs/>
          <w:sz w:val="24"/>
        </w:rPr>
      </w:pPr>
      <w:r w:rsidRPr="005472E9">
        <w:rPr>
          <w:rFonts w:ascii="Work Sans" w:hAnsi="Work Sans" w:cs="Arial"/>
          <w:b/>
          <w:bCs/>
          <w:sz w:val="24"/>
        </w:rPr>
        <w:t>Vigencia de las tarifas</w:t>
      </w:r>
    </w:p>
    <w:p w14:paraId="55A5AB03" w14:textId="77777777" w:rsidR="008527FF" w:rsidRPr="005472E9" w:rsidRDefault="008527FF" w:rsidP="008527FF">
      <w:pPr>
        <w:pStyle w:val="Prrafodelista"/>
        <w:suppressAutoHyphens w:val="0"/>
        <w:spacing w:after="0" w:line="240" w:lineRule="auto"/>
        <w:ind w:left="0"/>
        <w:contextualSpacing w:val="0"/>
        <w:jc w:val="both"/>
        <w:rPr>
          <w:rFonts w:ascii="Work Sans" w:hAnsi="Work Sans" w:cs="Arial"/>
          <w:b/>
          <w:bCs/>
          <w:sz w:val="24"/>
        </w:rPr>
      </w:pPr>
    </w:p>
    <w:p w14:paraId="5BDA6356" w14:textId="1D881FAD" w:rsidR="005F3436" w:rsidRPr="005472E9" w:rsidRDefault="005F3436" w:rsidP="005472E9">
      <w:pPr>
        <w:spacing w:after="0" w:line="240" w:lineRule="auto"/>
        <w:jc w:val="both"/>
        <w:rPr>
          <w:rFonts w:ascii="Work Sans" w:hAnsi="Work Sans" w:cs="Arial"/>
          <w:i/>
          <w:iCs/>
          <w:szCs w:val="20"/>
        </w:rPr>
      </w:pPr>
      <w:r w:rsidRPr="005F3436">
        <w:rPr>
          <w:rFonts w:ascii="Work Sans" w:hAnsi="Work Sans" w:cs="Arial"/>
          <w:sz w:val="24"/>
        </w:rPr>
        <w:t>De acuerdo con lo manifestado se les informa que NO hay lugar a interpretaciones divergentes sobre el momento en que cesan las</w:t>
      </w:r>
      <w:r>
        <w:rPr>
          <w:rFonts w:ascii="Work Sans" w:hAnsi="Work Sans" w:cs="Arial"/>
          <w:sz w:val="24"/>
        </w:rPr>
        <w:t xml:space="preserve"> </w:t>
      </w:r>
      <w:r w:rsidR="005472E9" w:rsidRPr="005472E9">
        <w:rPr>
          <w:rFonts w:ascii="Work Sans" w:hAnsi="Work Sans" w:cs="Arial"/>
          <w:i/>
          <w:iCs/>
          <w:szCs w:val="20"/>
        </w:rPr>
        <w:t>“</w:t>
      </w:r>
      <w:r w:rsidRPr="005472E9">
        <w:rPr>
          <w:rFonts w:ascii="Work Sans" w:hAnsi="Work Sans" w:cs="Arial"/>
          <w:i/>
          <w:iCs/>
          <w:szCs w:val="20"/>
        </w:rPr>
        <w:t>(…)</w:t>
      </w:r>
      <w:r w:rsidR="005472E9">
        <w:rPr>
          <w:rFonts w:ascii="Work Sans" w:hAnsi="Work Sans" w:cs="Arial"/>
          <w:i/>
          <w:iCs/>
          <w:szCs w:val="20"/>
        </w:rPr>
        <w:t xml:space="preserve"> </w:t>
      </w:r>
      <w:r w:rsidRPr="005472E9">
        <w:rPr>
          <w:rFonts w:ascii="Work Sans" w:hAnsi="Work Sans" w:cs="Arial"/>
          <w:i/>
          <w:iCs/>
          <w:szCs w:val="20"/>
        </w:rPr>
        <w:t>Tarifas Transitorias, ni tampoco se está generando incertidumbre jurídica para Ocensa, o inclusive controversias entre la Sociedad y sus remitentes”.</w:t>
      </w:r>
    </w:p>
    <w:p w14:paraId="0C31F48A" w14:textId="77777777" w:rsidR="008527FF" w:rsidRDefault="005F3436" w:rsidP="005472E9">
      <w:pPr>
        <w:spacing w:after="0" w:line="240" w:lineRule="auto"/>
        <w:jc w:val="both"/>
        <w:rPr>
          <w:rFonts w:ascii="Work Sans" w:hAnsi="Work Sans" w:cs="Arial"/>
          <w:sz w:val="24"/>
        </w:rPr>
      </w:pPr>
      <w:r w:rsidRPr="005F3436">
        <w:rPr>
          <w:rFonts w:ascii="Work Sans" w:hAnsi="Work Sans" w:cs="Arial"/>
          <w:sz w:val="24"/>
        </w:rPr>
        <w:lastRenderedPageBreak/>
        <w:t>Al respecto, es necesario realizar una lectura sistemática de lo indicado en el Resolución 232 del del 05 de marzo del 2026, la respuesta con radicado 2-2026-012670 del 01-04-2026 y el proceso indicado en la Resolución 72146 de 2014. </w:t>
      </w:r>
    </w:p>
    <w:p w14:paraId="7F0B9882" w14:textId="4F9E6FC0" w:rsidR="005F3436" w:rsidRPr="005F3436" w:rsidRDefault="005F3436" w:rsidP="005472E9">
      <w:pPr>
        <w:spacing w:after="0" w:line="240" w:lineRule="auto"/>
        <w:jc w:val="both"/>
        <w:rPr>
          <w:rFonts w:ascii="Work Sans" w:hAnsi="Work Sans" w:cs="Arial"/>
          <w:sz w:val="24"/>
        </w:rPr>
      </w:pPr>
      <w:r w:rsidRPr="005F3436">
        <w:rPr>
          <w:rFonts w:ascii="Work Sans" w:hAnsi="Work Sans" w:cs="Arial"/>
          <w:sz w:val="24"/>
        </w:rPr>
        <w:t> </w:t>
      </w:r>
    </w:p>
    <w:p w14:paraId="00056EB5" w14:textId="03EB00C7" w:rsidR="005F3436" w:rsidRDefault="005F3436" w:rsidP="005472E9">
      <w:pPr>
        <w:spacing w:after="0" w:line="240" w:lineRule="auto"/>
        <w:jc w:val="both"/>
        <w:rPr>
          <w:rFonts w:ascii="Work Sans" w:hAnsi="Work Sans" w:cs="Arial"/>
          <w:i/>
          <w:iCs/>
          <w:szCs w:val="20"/>
        </w:rPr>
      </w:pPr>
      <w:r w:rsidRPr="005F3436">
        <w:rPr>
          <w:rFonts w:ascii="Work Sans" w:hAnsi="Work Sans" w:cs="Arial"/>
          <w:sz w:val="24"/>
        </w:rPr>
        <w:t>Con el parágrafo del artículo 2 de la Resolución 232 del 04 de marzo del 2026, se habilitó el proceso de negociación para la fijación de la tarifa del servicio de transporte de crudo por el sistema de oleoductos de OCENSA S.A., frente al periodo 2026 en los términos previstos en los artículos 5A, 5B, 5C, 5D y 6 de la Resolución 72146 de 2014. Luego, el respectivo parágrafo, señaló que el procedimiento para realizar la negociación se mantendría vigente</w:t>
      </w:r>
      <w:r>
        <w:rPr>
          <w:rFonts w:ascii="Work Sans" w:hAnsi="Work Sans" w:cs="Arial"/>
          <w:sz w:val="24"/>
        </w:rPr>
        <w:t xml:space="preserve"> </w:t>
      </w:r>
      <w:r w:rsidR="005472E9" w:rsidRPr="005472E9">
        <w:rPr>
          <w:rFonts w:ascii="Work Sans" w:hAnsi="Work Sans" w:cs="Arial"/>
          <w:i/>
          <w:iCs/>
          <w:szCs w:val="20"/>
        </w:rPr>
        <w:t>“</w:t>
      </w:r>
      <w:r w:rsidRPr="005472E9">
        <w:rPr>
          <w:rFonts w:ascii="Work Sans" w:hAnsi="Work Sans" w:cs="Arial"/>
          <w:i/>
          <w:iCs/>
          <w:szCs w:val="20"/>
        </w:rPr>
        <w:t>(…) hasta tanto se expida la nueva la resolución mediante la cual se establecerán los nuevos lineamientos para tener en cuenta en la metodología tarifaria para el transporte de crudo por oleoductos”.</w:t>
      </w:r>
    </w:p>
    <w:p w14:paraId="7C8ABD4C" w14:textId="77777777" w:rsidR="008527FF" w:rsidRPr="005472E9" w:rsidRDefault="008527FF" w:rsidP="005472E9">
      <w:pPr>
        <w:spacing w:after="0" w:line="240" w:lineRule="auto"/>
        <w:jc w:val="both"/>
        <w:rPr>
          <w:rFonts w:ascii="Work Sans" w:hAnsi="Work Sans" w:cs="Arial"/>
          <w:i/>
          <w:iCs/>
          <w:szCs w:val="20"/>
        </w:rPr>
      </w:pPr>
    </w:p>
    <w:p w14:paraId="7C1919EE" w14:textId="5315F53F" w:rsidR="005F3436" w:rsidRDefault="005F3436" w:rsidP="005472E9">
      <w:pPr>
        <w:suppressAutoHyphens w:val="0"/>
        <w:spacing w:after="0" w:line="240" w:lineRule="auto"/>
        <w:jc w:val="both"/>
        <w:rPr>
          <w:rFonts w:ascii="Work Sans" w:hAnsi="Work Sans" w:cs="Arial"/>
          <w:sz w:val="24"/>
        </w:rPr>
      </w:pPr>
      <w:r w:rsidRPr="005F3436">
        <w:rPr>
          <w:rFonts w:ascii="Work Sans" w:hAnsi="Work Sans" w:cs="Arial"/>
          <w:sz w:val="24"/>
        </w:rPr>
        <w:t>De la mención de esta norma cabe destacar que el parágrafo hace alusión al término de duración de la medida adoptada, la cual consistió en levantar la suspensión de una serie de artículos de la resolución 72146 del 2014, para que OCENSA S.A se acogiera al proceso, etapas, requisitos y plazos de la negociación, con la finalidad de lograr la fijación de las tarifas del servicio de transporte de hidrocarburos por ducto</w:t>
      </w:r>
      <w:r w:rsidR="00A415FB">
        <w:rPr>
          <w:rFonts w:ascii="Work Sans" w:hAnsi="Work Sans" w:cs="Arial"/>
          <w:sz w:val="24"/>
        </w:rPr>
        <w:t>s</w:t>
      </w:r>
      <w:r w:rsidRPr="005F3436">
        <w:rPr>
          <w:rFonts w:ascii="Work Sans" w:hAnsi="Work Sans" w:cs="Arial"/>
          <w:sz w:val="24"/>
        </w:rPr>
        <w:t>, de allí que, la duración de la medida comprende el proceso de manera integral.</w:t>
      </w:r>
    </w:p>
    <w:p w14:paraId="48F552F8" w14:textId="77777777" w:rsidR="008527FF" w:rsidRPr="005F3436" w:rsidRDefault="008527FF" w:rsidP="005472E9">
      <w:pPr>
        <w:suppressAutoHyphens w:val="0"/>
        <w:spacing w:after="0" w:line="240" w:lineRule="auto"/>
        <w:jc w:val="both"/>
        <w:rPr>
          <w:rFonts w:ascii="Work Sans" w:hAnsi="Work Sans" w:cs="Arial"/>
          <w:sz w:val="24"/>
        </w:rPr>
      </w:pPr>
    </w:p>
    <w:p w14:paraId="50E3C967" w14:textId="49FD64D6" w:rsidR="005F3436" w:rsidRDefault="005F3436" w:rsidP="005472E9">
      <w:pPr>
        <w:spacing w:after="0" w:line="240" w:lineRule="auto"/>
        <w:jc w:val="both"/>
        <w:rPr>
          <w:rFonts w:ascii="Work Sans" w:hAnsi="Work Sans" w:cs="Arial"/>
          <w:sz w:val="24"/>
        </w:rPr>
      </w:pPr>
      <w:r w:rsidRPr="005F3436">
        <w:rPr>
          <w:rFonts w:ascii="Work Sans" w:hAnsi="Work Sans" w:cs="Arial"/>
          <w:sz w:val="24"/>
        </w:rPr>
        <w:t xml:space="preserve">Ahora, frente a la respuesta con radicado 2-2026-012670 del 01-04-20, se le indica que la respuesta generada se impartió atendiendo una solicitud de aclaración y que en ningún momento se aparta o contraviene lo indicado en la Resolución 232 de 2026. Como ya se dijo, activar el proceso de negociación no tenía otra intención que permitir que OCENSA S.A adelantara el proceso de definición de tarifa previsto en la citada resolución 72146 del 2014, por lo tanto, cuando en la respuesta con radicado 2-2026-012670 se menciona que la vigencia de las tarifas se extiende </w:t>
      </w:r>
      <w:r w:rsidRPr="000A1B8C">
        <w:rPr>
          <w:rFonts w:ascii="Work Sans" w:hAnsi="Work Sans" w:cs="Arial"/>
          <w:sz w:val="24"/>
        </w:rPr>
        <w:t>desde el 1 de julio de 2026 hasta la fecha en la cual la Dirección de Hidrocarburos fije nuevas tarifas para la Sociedad, en aplicación de la metodología que se expida para tales efectos,</w:t>
      </w:r>
      <w:r w:rsidRPr="005F3436">
        <w:rPr>
          <w:rFonts w:ascii="Work Sans" w:hAnsi="Work Sans" w:cs="Arial"/>
          <w:sz w:val="24"/>
        </w:rPr>
        <w:t xml:space="preserve"> lo que realiza esta oficina es desarrollar ese término de duración de la medida consignada en el citado parágrafo, pues lo condiciona hasta una fecha aplicable no solo para OCENSA, sino también a todos los transportadores u operadores, pues con aquella regulación se determinarán las reglas aplicables para todo tipo de situaciones.</w:t>
      </w:r>
    </w:p>
    <w:p w14:paraId="7F11832E" w14:textId="77777777" w:rsidR="008527FF" w:rsidRPr="005F3436" w:rsidRDefault="008527FF" w:rsidP="005472E9">
      <w:pPr>
        <w:spacing w:after="0" w:line="240" w:lineRule="auto"/>
        <w:jc w:val="both"/>
        <w:rPr>
          <w:rFonts w:ascii="Work Sans" w:hAnsi="Work Sans" w:cs="Arial"/>
          <w:sz w:val="24"/>
        </w:rPr>
      </w:pPr>
    </w:p>
    <w:p w14:paraId="4DB261F6" w14:textId="148ADF6C" w:rsidR="005F3436" w:rsidRDefault="005F3436" w:rsidP="005472E9">
      <w:pPr>
        <w:spacing w:after="0" w:line="240" w:lineRule="auto"/>
        <w:jc w:val="both"/>
        <w:rPr>
          <w:rFonts w:ascii="Work Sans" w:hAnsi="Work Sans" w:cs="Arial"/>
          <w:sz w:val="24"/>
        </w:rPr>
      </w:pPr>
      <w:r w:rsidRPr="005F3436">
        <w:rPr>
          <w:rFonts w:ascii="Work Sans" w:hAnsi="Work Sans" w:cs="Arial"/>
          <w:sz w:val="24"/>
        </w:rPr>
        <w:lastRenderedPageBreak/>
        <w:t>Dicho esto, se reitera que para esta dirección la Resolución 232 del 2026 co</w:t>
      </w:r>
      <w:r>
        <w:rPr>
          <w:rFonts w:ascii="Work Sans" w:hAnsi="Work Sans" w:cs="Arial"/>
          <w:sz w:val="24"/>
        </w:rPr>
        <w:t>nt</w:t>
      </w:r>
      <w:r w:rsidRPr="005F3436">
        <w:rPr>
          <w:rFonts w:ascii="Work Sans" w:hAnsi="Work Sans" w:cs="Arial"/>
          <w:sz w:val="24"/>
        </w:rPr>
        <w:t>iene los elementos suficientes para determinar el alcance temporal de la medida adoptada sin perjuicio de las decisiones regulatorias definitivas que se adopten dentro del proceso de revisión y fijación tarifaria en curso, que en todo caso se informaran en oportunidad, brindando seguridad jurídica al proceso.</w:t>
      </w:r>
    </w:p>
    <w:p w14:paraId="5387DF76" w14:textId="77777777" w:rsidR="008527FF" w:rsidRPr="005F3436" w:rsidRDefault="008527FF" w:rsidP="005472E9">
      <w:pPr>
        <w:spacing w:after="0" w:line="240" w:lineRule="auto"/>
        <w:jc w:val="both"/>
        <w:rPr>
          <w:rFonts w:ascii="Work Sans" w:hAnsi="Work Sans" w:cs="Arial"/>
          <w:sz w:val="24"/>
        </w:rPr>
      </w:pPr>
    </w:p>
    <w:p w14:paraId="2398B838" w14:textId="28CE6B24" w:rsidR="005F3436" w:rsidRDefault="005F3436" w:rsidP="005472E9">
      <w:pPr>
        <w:spacing w:after="0" w:line="240" w:lineRule="auto"/>
        <w:jc w:val="both"/>
        <w:rPr>
          <w:rFonts w:ascii="Work Sans" w:hAnsi="Work Sans" w:cs="Arial"/>
          <w:sz w:val="24"/>
        </w:rPr>
      </w:pPr>
      <w:r w:rsidRPr="005F3436">
        <w:rPr>
          <w:rFonts w:ascii="Work Sans" w:hAnsi="Work Sans" w:cs="Arial"/>
          <w:sz w:val="24"/>
        </w:rPr>
        <w:t>No obstante, lo anterior, esta oficina en atención del recurso de reposición presentado por OCENSA S.A se encuentra en trámite de expedición de resolución complementaria, que aclara algunos puntos de la Resolución 232 del 2026.</w:t>
      </w:r>
    </w:p>
    <w:p w14:paraId="46F3AB91" w14:textId="77777777" w:rsidR="008527FF" w:rsidRDefault="008527FF" w:rsidP="005472E9">
      <w:pPr>
        <w:spacing w:after="0" w:line="240" w:lineRule="auto"/>
        <w:jc w:val="both"/>
        <w:rPr>
          <w:rFonts w:ascii="Work Sans" w:hAnsi="Work Sans" w:cs="Arial"/>
          <w:sz w:val="24"/>
        </w:rPr>
      </w:pPr>
    </w:p>
    <w:p w14:paraId="10D47C60" w14:textId="3BEC047C" w:rsidR="005F3436" w:rsidRDefault="005F3436" w:rsidP="005472E9">
      <w:pPr>
        <w:pStyle w:val="Prrafodelista"/>
        <w:numPr>
          <w:ilvl w:val="0"/>
          <w:numId w:val="16"/>
        </w:numPr>
        <w:suppressAutoHyphens w:val="0"/>
        <w:spacing w:after="0" w:line="240" w:lineRule="auto"/>
        <w:ind w:left="0"/>
        <w:contextualSpacing w:val="0"/>
        <w:jc w:val="both"/>
        <w:rPr>
          <w:rFonts w:ascii="Work Sans" w:hAnsi="Work Sans" w:cs="Arial"/>
          <w:b/>
          <w:bCs/>
          <w:sz w:val="24"/>
        </w:rPr>
      </w:pPr>
      <w:r w:rsidRPr="0047546C">
        <w:rPr>
          <w:rFonts w:ascii="Work Sans" w:hAnsi="Work Sans" w:cs="Arial"/>
          <w:b/>
          <w:bCs/>
          <w:sz w:val="24"/>
        </w:rPr>
        <w:t>Actualización y proyección tarifaria</w:t>
      </w:r>
    </w:p>
    <w:p w14:paraId="4A5DA7EC" w14:textId="77777777" w:rsidR="008527FF" w:rsidRPr="0047546C" w:rsidRDefault="008527FF" w:rsidP="008527FF">
      <w:pPr>
        <w:pStyle w:val="Prrafodelista"/>
        <w:suppressAutoHyphens w:val="0"/>
        <w:spacing w:after="0" w:line="240" w:lineRule="auto"/>
        <w:ind w:left="0"/>
        <w:contextualSpacing w:val="0"/>
        <w:jc w:val="both"/>
        <w:rPr>
          <w:rFonts w:ascii="Work Sans" w:hAnsi="Work Sans" w:cs="Arial"/>
          <w:b/>
          <w:bCs/>
          <w:sz w:val="24"/>
        </w:rPr>
      </w:pPr>
    </w:p>
    <w:p w14:paraId="131DEDCD" w14:textId="0A33E0A1" w:rsidR="005F3436" w:rsidRDefault="005F3436" w:rsidP="005472E9">
      <w:pPr>
        <w:spacing w:after="0" w:line="240" w:lineRule="auto"/>
        <w:jc w:val="both"/>
        <w:rPr>
          <w:rFonts w:ascii="Work Sans" w:hAnsi="Work Sans" w:cs="Arial"/>
          <w:sz w:val="24"/>
        </w:rPr>
      </w:pPr>
      <w:r w:rsidRPr="005F3436">
        <w:rPr>
          <w:rFonts w:ascii="Work Sans" w:hAnsi="Work Sans" w:cs="Arial"/>
          <w:sz w:val="24"/>
        </w:rPr>
        <w:t>La certeza jurídica para fijación de la tarifa del servicio de transporte de hidrocarburos por oleoductos por parte de los transportadores u operadores y remitentes ya está dada en el artículo 7 de la Resolución 72146 de 2014, la cual fue expedida por autoridad competente, en ejercicio de sus funciones legales y reglamentarias.</w:t>
      </w:r>
    </w:p>
    <w:p w14:paraId="2CF3CD96" w14:textId="77777777" w:rsidR="008527FF" w:rsidRPr="005F3436" w:rsidRDefault="008527FF" w:rsidP="005472E9">
      <w:pPr>
        <w:spacing w:after="0" w:line="240" w:lineRule="auto"/>
        <w:jc w:val="both"/>
        <w:rPr>
          <w:rFonts w:ascii="Work Sans" w:hAnsi="Work Sans" w:cs="Arial"/>
          <w:sz w:val="24"/>
        </w:rPr>
      </w:pPr>
    </w:p>
    <w:p w14:paraId="5C310ED7" w14:textId="01DFD095" w:rsidR="005F3436" w:rsidRDefault="005F3436" w:rsidP="005472E9">
      <w:pPr>
        <w:spacing w:after="0" w:line="240" w:lineRule="auto"/>
        <w:jc w:val="both"/>
        <w:rPr>
          <w:rFonts w:ascii="Work Sans" w:hAnsi="Work Sans" w:cs="Arial"/>
          <w:sz w:val="24"/>
        </w:rPr>
      </w:pPr>
      <w:r w:rsidRPr="005F3436">
        <w:rPr>
          <w:rFonts w:ascii="Work Sans" w:hAnsi="Work Sans" w:cs="Arial"/>
          <w:sz w:val="24"/>
        </w:rPr>
        <w:t>Considérese que la Resolución 232 de 2026 tan solo ordenó el levantamiento transitorio de la suspensión de los artículos 5A, 5B, 5C, 5D y 6 de la Resolución 72146 de 2014, suspensión que había sido establecida mediante la Resolución 279 de 2025, con el propósito de habilitar el desarrollo del proceso de fijación tarifaria transitoria aplicable al sistema de transporte de Oleoducto Central S.A. - OCENSA, en consideración al cumplimiento de la vida útil normativa del oleoducto.</w:t>
      </w:r>
    </w:p>
    <w:p w14:paraId="6F4668EA" w14:textId="77777777" w:rsidR="008527FF" w:rsidRPr="005F3436" w:rsidRDefault="008527FF" w:rsidP="005472E9">
      <w:pPr>
        <w:spacing w:after="0" w:line="240" w:lineRule="auto"/>
        <w:jc w:val="both"/>
        <w:rPr>
          <w:rFonts w:ascii="Work Sans" w:hAnsi="Work Sans" w:cs="Arial"/>
          <w:sz w:val="24"/>
        </w:rPr>
      </w:pPr>
    </w:p>
    <w:p w14:paraId="39C49FFF" w14:textId="6D21D451" w:rsidR="005F3436" w:rsidRDefault="005F3436" w:rsidP="005472E9">
      <w:pPr>
        <w:spacing w:after="0" w:line="240" w:lineRule="auto"/>
        <w:jc w:val="both"/>
        <w:rPr>
          <w:rFonts w:ascii="Work Sans" w:hAnsi="Work Sans" w:cs="Arial"/>
          <w:sz w:val="24"/>
        </w:rPr>
      </w:pPr>
      <w:r w:rsidRPr="005F3436">
        <w:rPr>
          <w:rFonts w:ascii="Work Sans" w:hAnsi="Work Sans" w:cs="Arial"/>
          <w:sz w:val="24"/>
        </w:rPr>
        <w:t>En consecuencia, los demás artículos y disposiciones regulatorias contenidos en la Resolución 72146 de 2014 conservan plena vigencia y aplicabilidad dentro del proceso tarifario actualmente en curso, sin que resulte necesario que la Resolución 232 de 2026 los reproduzca, modifique o haga referencia expresa a cada una de las disposiciones regulatorias ya vigentes para efectos de su aplicación. </w:t>
      </w:r>
    </w:p>
    <w:p w14:paraId="0D6BD206" w14:textId="77777777" w:rsidR="008527FF" w:rsidRPr="005F3436" w:rsidRDefault="008527FF" w:rsidP="005472E9">
      <w:pPr>
        <w:spacing w:after="0" w:line="240" w:lineRule="auto"/>
        <w:jc w:val="both"/>
        <w:rPr>
          <w:rFonts w:ascii="Work Sans" w:hAnsi="Work Sans" w:cs="Arial"/>
          <w:sz w:val="24"/>
        </w:rPr>
      </w:pPr>
    </w:p>
    <w:p w14:paraId="32DD4160" w14:textId="77777777" w:rsidR="005F3436" w:rsidRPr="005F3436" w:rsidRDefault="005F3436" w:rsidP="005472E9">
      <w:pPr>
        <w:spacing w:after="0" w:line="240" w:lineRule="auto"/>
        <w:jc w:val="both"/>
        <w:rPr>
          <w:rFonts w:ascii="Work Sans" w:hAnsi="Work Sans" w:cs="Arial"/>
          <w:sz w:val="24"/>
        </w:rPr>
      </w:pPr>
      <w:r w:rsidRPr="005F3436">
        <w:rPr>
          <w:rFonts w:ascii="Work Sans" w:hAnsi="Work Sans" w:cs="Arial"/>
          <w:sz w:val="24"/>
        </w:rPr>
        <w:t>Así mismo, el proceso de revisión tarifaria requiere garantizar la suficiencia técnica y financiera de las tarifas aplicables al sistema de transporte, así como la adecuada remuneración de la infraestructura utilizada para la prestación del servicio público de transporte por oleoductos.</w:t>
      </w:r>
    </w:p>
    <w:p w14:paraId="2B6F4096" w14:textId="2D7383FC" w:rsidR="005F3436" w:rsidRDefault="005F3436" w:rsidP="005472E9">
      <w:pPr>
        <w:spacing w:after="0" w:line="240" w:lineRule="auto"/>
        <w:jc w:val="both"/>
        <w:rPr>
          <w:rFonts w:ascii="Work Sans" w:hAnsi="Work Sans" w:cs="Arial"/>
          <w:sz w:val="24"/>
        </w:rPr>
      </w:pPr>
      <w:r w:rsidRPr="005F3436">
        <w:rPr>
          <w:rFonts w:ascii="Work Sans" w:hAnsi="Work Sans" w:cs="Arial"/>
          <w:sz w:val="24"/>
        </w:rPr>
        <w:lastRenderedPageBreak/>
        <w:t xml:space="preserve">No se pierda de vista que dicho levantamiento se concretó en el entendido del vencimiento de la vida útil normativa o del período de recuperación de activos asociados a la prestación del servicio de transporte de la sociedad, lo cual implicaba que aquella realizara un nuevo proceso de valoración de los activos con la metodología de Costo de Reposición Depreciado (CRD), con la finalidad de establecer el justo valor del oleoducto y, posteriormente, realizar la negociación con los remitentes para concretar la actualización de las tarifas de transporte aplicables al crudo transportado, la cual, en razón </w:t>
      </w:r>
      <w:r w:rsidRPr="00D65734">
        <w:rPr>
          <w:rFonts w:ascii="Work Sans" w:hAnsi="Work Sans" w:cs="Arial"/>
          <w:sz w:val="24"/>
        </w:rPr>
        <w:t>a los p</w:t>
      </w:r>
      <w:r w:rsidR="000F70DD" w:rsidRPr="00D65734">
        <w:rPr>
          <w:rFonts w:ascii="Work Sans" w:hAnsi="Work Sans" w:cs="Arial"/>
          <w:sz w:val="24"/>
        </w:rPr>
        <w:t>l</w:t>
      </w:r>
      <w:r w:rsidRPr="00D65734">
        <w:rPr>
          <w:rFonts w:ascii="Work Sans" w:hAnsi="Work Sans" w:cs="Arial"/>
          <w:sz w:val="24"/>
        </w:rPr>
        <w:t>azos</w:t>
      </w:r>
      <w:r w:rsidRPr="005F3436">
        <w:rPr>
          <w:rFonts w:ascii="Work Sans" w:hAnsi="Work Sans" w:cs="Arial"/>
          <w:sz w:val="24"/>
        </w:rPr>
        <w:t xml:space="preserve"> se no se realizará</w:t>
      </w:r>
      <w:r w:rsidR="0047546C">
        <w:rPr>
          <w:rFonts w:ascii="Work Sans" w:hAnsi="Work Sans" w:cs="Arial"/>
          <w:sz w:val="24"/>
        </w:rPr>
        <w:t xml:space="preserve">, </w:t>
      </w:r>
      <w:r w:rsidRPr="005F3436">
        <w:rPr>
          <w:rFonts w:ascii="Work Sans" w:hAnsi="Work Sans" w:cs="Arial"/>
          <w:sz w:val="24"/>
        </w:rPr>
        <w:t>y se fijara directamente por esta Dirección.</w:t>
      </w:r>
    </w:p>
    <w:p w14:paraId="485E5498" w14:textId="77777777" w:rsidR="008527FF" w:rsidRPr="0047546C" w:rsidRDefault="008527FF" w:rsidP="005472E9">
      <w:pPr>
        <w:spacing w:after="0" w:line="240" w:lineRule="auto"/>
        <w:jc w:val="both"/>
        <w:rPr>
          <w:rFonts w:ascii="Work Sans" w:hAnsi="Work Sans" w:cs="Arial"/>
          <w:sz w:val="24"/>
        </w:rPr>
      </w:pPr>
    </w:p>
    <w:p w14:paraId="5B3657E3" w14:textId="6627F4AE" w:rsidR="00A8687A" w:rsidRDefault="00A8687A" w:rsidP="005472E9">
      <w:pPr>
        <w:pStyle w:val="Prrafodelista"/>
        <w:numPr>
          <w:ilvl w:val="0"/>
          <w:numId w:val="16"/>
        </w:numPr>
        <w:suppressAutoHyphens w:val="0"/>
        <w:spacing w:after="0" w:line="240" w:lineRule="auto"/>
        <w:ind w:left="0"/>
        <w:contextualSpacing w:val="0"/>
        <w:jc w:val="both"/>
        <w:rPr>
          <w:rFonts w:ascii="Work Sans" w:hAnsi="Work Sans" w:cs="Arial"/>
          <w:b/>
          <w:bCs/>
          <w:sz w:val="24"/>
        </w:rPr>
      </w:pPr>
      <w:r w:rsidRPr="00A8687A">
        <w:rPr>
          <w:rFonts w:ascii="Work Sans" w:hAnsi="Work Sans" w:cs="Arial"/>
          <w:b/>
          <w:bCs/>
          <w:sz w:val="24"/>
        </w:rPr>
        <w:t>Valoración VUN</w:t>
      </w:r>
    </w:p>
    <w:p w14:paraId="65CEE187" w14:textId="77777777" w:rsidR="008527FF" w:rsidRPr="00A8687A" w:rsidRDefault="008527FF" w:rsidP="008527FF">
      <w:pPr>
        <w:pStyle w:val="Prrafodelista"/>
        <w:suppressAutoHyphens w:val="0"/>
        <w:spacing w:after="0" w:line="240" w:lineRule="auto"/>
        <w:ind w:left="0"/>
        <w:contextualSpacing w:val="0"/>
        <w:jc w:val="both"/>
        <w:rPr>
          <w:rFonts w:ascii="Work Sans" w:hAnsi="Work Sans" w:cs="Arial"/>
          <w:b/>
          <w:bCs/>
          <w:sz w:val="24"/>
        </w:rPr>
      </w:pPr>
    </w:p>
    <w:p w14:paraId="156B71D6" w14:textId="0CF12465" w:rsidR="00A8687A" w:rsidRDefault="00A8687A" w:rsidP="005472E9">
      <w:pPr>
        <w:spacing w:after="0" w:line="240" w:lineRule="auto"/>
        <w:jc w:val="both"/>
        <w:rPr>
          <w:rFonts w:ascii="Work Sans" w:hAnsi="Work Sans" w:cs="Arial"/>
          <w:sz w:val="24"/>
        </w:rPr>
      </w:pPr>
      <w:r w:rsidRPr="00A8687A">
        <w:rPr>
          <w:rFonts w:ascii="Work Sans" w:hAnsi="Work Sans" w:cs="Arial"/>
          <w:sz w:val="24"/>
        </w:rPr>
        <w:t>La Dirección de Hidrocarburos se encuentra actualmente adelantando la revisión técnica, financiera y metodológica del informe de valoración de activos presentado por Oleoducto Central S.A. – OCENSA, elaborado bajo la metodología de Costo de Reposición Depreciado (CRD), con el fin de verificar el cumplimiento de los criterios establecidos en el artículo 57 del Código de Petróleos (Decreto 1056 de 1953), así como de las disposiciones contenidas en la Resolución 72146 de 2014.</w:t>
      </w:r>
    </w:p>
    <w:p w14:paraId="12EF99EF" w14:textId="77777777" w:rsidR="008527FF" w:rsidRPr="00A8687A" w:rsidRDefault="008527FF" w:rsidP="005472E9">
      <w:pPr>
        <w:spacing w:after="0" w:line="240" w:lineRule="auto"/>
        <w:jc w:val="both"/>
        <w:rPr>
          <w:rFonts w:ascii="Work Sans" w:hAnsi="Work Sans" w:cs="Arial"/>
          <w:sz w:val="24"/>
        </w:rPr>
      </w:pPr>
    </w:p>
    <w:p w14:paraId="1659123D" w14:textId="7371C276" w:rsidR="00A8687A" w:rsidRDefault="00A8687A" w:rsidP="005472E9">
      <w:pPr>
        <w:suppressAutoHyphens w:val="0"/>
        <w:spacing w:after="0" w:line="240" w:lineRule="auto"/>
        <w:jc w:val="both"/>
        <w:rPr>
          <w:rFonts w:ascii="Work Sans" w:hAnsi="Work Sans" w:cs="Arial"/>
          <w:sz w:val="24"/>
        </w:rPr>
      </w:pPr>
      <w:r w:rsidRPr="00A8687A">
        <w:rPr>
          <w:rFonts w:ascii="Work Sans" w:hAnsi="Work Sans" w:cs="Arial"/>
          <w:sz w:val="24"/>
        </w:rPr>
        <w:t>Lo anterior, con el propósito de determinar el justo valor del oleoducto para efectos tarifarios, garantizando que la valoración refleje adecuadamente las condiciones técnicas, operativas y financieras de la infraestructura objeto de remuneración.</w:t>
      </w:r>
    </w:p>
    <w:p w14:paraId="20F77B27" w14:textId="77777777" w:rsidR="008527FF" w:rsidRPr="00A8687A" w:rsidRDefault="008527FF" w:rsidP="005472E9">
      <w:pPr>
        <w:suppressAutoHyphens w:val="0"/>
        <w:spacing w:after="0" w:line="240" w:lineRule="auto"/>
        <w:jc w:val="both"/>
        <w:rPr>
          <w:rFonts w:ascii="Work Sans" w:hAnsi="Work Sans" w:cs="Arial"/>
          <w:sz w:val="24"/>
        </w:rPr>
      </w:pPr>
    </w:p>
    <w:p w14:paraId="6BFDFE79" w14:textId="312F7825" w:rsidR="00A8687A" w:rsidRDefault="00A8687A" w:rsidP="005472E9">
      <w:pPr>
        <w:spacing w:after="0" w:line="240" w:lineRule="auto"/>
        <w:jc w:val="both"/>
        <w:rPr>
          <w:rFonts w:ascii="Work Sans" w:hAnsi="Work Sans" w:cs="Arial"/>
          <w:sz w:val="24"/>
        </w:rPr>
      </w:pPr>
      <w:r w:rsidRPr="00A8687A">
        <w:rPr>
          <w:rFonts w:ascii="Work Sans" w:hAnsi="Work Sans" w:cs="Arial"/>
          <w:sz w:val="24"/>
        </w:rPr>
        <w:t>En este sentido, el informe de valoración presentado incorpora el avalúo de los activos que actualmente hacen parte de la base de remuneración tarifaria, incluyendo, entre otros, ductos, obras civiles, maquinaria y equipos asociados a estaciones de bombeo y medición, bunkers, terrenos y demás conceptos relacionados, tales como licencias, llenado de línea, servidumbres y costos de desmantelamiento.</w:t>
      </w:r>
    </w:p>
    <w:p w14:paraId="20D98BB4" w14:textId="77777777" w:rsidR="008527FF" w:rsidRDefault="008527FF" w:rsidP="005472E9">
      <w:pPr>
        <w:spacing w:after="0" w:line="240" w:lineRule="auto"/>
        <w:jc w:val="both"/>
        <w:rPr>
          <w:rFonts w:ascii="Work Sans" w:hAnsi="Work Sans" w:cs="Arial"/>
          <w:sz w:val="24"/>
        </w:rPr>
      </w:pPr>
    </w:p>
    <w:p w14:paraId="606FF78B" w14:textId="39556564" w:rsidR="00A8687A" w:rsidRDefault="008527FF" w:rsidP="005472E9">
      <w:pPr>
        <w:spacing w:after="0" w:line="240" w:lineRule="auto"/>
        <w:jc w:val="both"/>
        <w:rPr>
          <w:rFonts w:ascii="Work Sans" w:hAnsi="Work Sans" w:cs="Arial"/>
          <w:sz w:val="24"/>
        </w:rPr>
      </w:pPr>
      <w:r>
        <w:rPr>
          <w:rFonts w:ascii="Work Sans" w:hAnsi="Work Sans" w:cs="Arial"/>
          <w:sz w:val="24"/>
        </w:rPr>
        <w:t>Así las cosas</w:t>
      </w:r>
      <w:r w:rsidR="00A8687A" w:rsidRPr="00A8687A">
        <w:rPr>
          <w:rFonts w:ascii="Work Sans" w:hAnsi="Work Sans" w:cs="Arial"/>
          <w:sz w:val="24"/>
        </w:rPr>
        <w:t xml:space="preserve">, </w:t>
      </w:r>
      <w:r>
        <w:rPr>
          <w:rFonts w:ascii="Work Sans" w:hAnsi="Work Sans" w:cs="Arial"/>
          <w:sz w:val="24"/>
        </w:rPr>
        <w:t xml:space="preserve">considérese que esta </w:t>
      </w:r>
      <w:r w:rsidR="00A8687A" w:rsidRPr="00A8687A">
        <w:rPr>
          <w:rFonts w:ascii="Work Sans" w:hAnsi="Work Sans" w:cs="Arial"/>
          <w:sz w:val="24"/>
        </w:rPr>
        <w:t xml:space="preserve">valoración contempla </w:t>
      </w:r>
      <w:r w:rsidR="00A8687A" w:rsidRPr="00745534">
        <w:rPr>
          <w:rFonts w:ascii="Work Sans" w:hAnsi="Work Sans" w:cs="Arial"/>
          <w:sz w:val="24"/>
        </w:rPr>
        <w:t>las mejoras</w:t>
      </w:r>
      <w:r w:rsidR="00A8687A" w:rsidRPr="00A8687A">
        <w:rPr>
          <w:rFonts w:ascii="Work Sans" w:hAnsi="Work Sans" w:cs="Arial"/>
          <w:sz w:val="24"/>
        </w:rPr>
        <w:t>, adecuaciones, reposiciones e inversiones ejecutadas a la fecha para garantizar la continuidad operativa, funcionalidad, confiabilidad y mantenimiento de la infraestructura de transporte. Por tal razón, resulta necesario verificar la adecuada identificación, discriminación y trazabilidad regulatoria de las inversiones iniciales (</w:t>
      </w:r>
      <w:proofErr w:type="spellStart"/>
      <w:r w:rsidR="00A8687A" w:rsidRPr="00A8687A">
        <w:rPr>
          <w:rFonts w:ascii="Work Sans" w:hAnsi="Work Sans" w:cs="Arial"/>
          <w:sz w:val="24"/>
        </w:rPr>
        <w:t>Io</w:t>
      </w:r>
      <w:proofErr w:type="spellEnd"/>
      <w:r w:rsidR="00A8687A" w:rsidRPr="00A8687A">
        <w:rPr>
          <w:rFonts w:ascii="Work Sans" w:hAnsi="Work Sans" w:cs="Arial"/>
          <w:sz w:val="24"/>
        </w:rPr>
        <w:t>) y de las inversiones adicionales (</w:t>
      </w:r>
      <w:proofErr w:type="spellStart"/>
      <w:r w:rsidR="00A8687A" w:rsidRPr="00A8687A">
        <w:rPr>
          <w:rFonts w:ascii="Work Sans" w:hAnsi="Work Sans" w:cs="Arial"/>
          <w:sz w:val="24"/>
        </w:rPr>
        <w:t>Ia</w:t>
      </w:r>
      <w:proofErr w:type="spellEnd"/>
      <w:r w:rsidR="00A8687A" w:rsidRPr="00A8687A">
        <w:rPr>
          <w:rFonts w:ascii="Work Sans" w:hAnsi="Work Sans" w:cs="Arial"/>
          <w:sz w:val="24"/>
        </w:rPr>
        <w:t xml:space="preserve">), así como la correcta </w:t>
      </w:r>
      <w:r w:rsidR="00A8687A" w:rsidRPr="00A8687A">
        <w:rPr>
          <w:rFonts w:ascii="Work Sans" w:hAnsi="Work Sans" w:cs="Arial"/>
          <w:sz w:val="24"/>
        </w:rPr>
        <w:lastRenderedPageBreak/>
        <w:t>verificación de aquellas inversiones reconocidas, ejecutadas o proyectadas dentro de los distintos períodos tarifarios hasta el año 2025.</w:t>
      </w:r>
    </w:p>
    <w:p w14:paraId="022F3BAD" w14:textId="77777777" w:rsidR="008527FF" w:rsidRPr="00A8687A" w:rsidRDefault="008527FF" w:rsidP="005472E9">
      <w:pPr>
        <w:spacing w:after="0" w:line="240" w:lineRule="auto"/>
        <w:jc w:val="both"/>
        <w:rPr>
          <w:rFonts w:ascii="Work Sans" w:hAnsi="Work Sans" w:cs="Arial"/>
          <w:sz w:val="24"/>
        </w:rPr>
      </w:pPr>
    </w:p>
    <w:p w14:paraId="22EEDD14" w14:textId="5DEED4FF" w:rsidR="00A8687A" w:rsidRDefault="00A8687A" w:rsidP="005472E9">
      <w:pPr>
        <w:suppressAutoHyphens w:val="0"/>
        <w:spacing w:after="0" w:line="240" w:lineRule="auto"/>
        <w:jc w:val="both"/>
        <w:rPr>
          <w:rFonts w:ascii="Work Sans" w:hAnsi="Work Sans" w:cs="Arial"/>
          <w:sz w:val="24"/>
        </w:rPr>
      </w:pPr>
      <w:r w:rsidRPr="00A8687A">
        <w:rPr>
          <w:rFonts w:ascii="Work Sans" w:hAnsi="Work Sans" w:cs="Arial"/>
          <w:sz w:val="24"/>
        </w:rPr>
        <w:t>En particular, esta Dirección debe verificar la correcta aplicación de lo dispuesto en el parágrafo 4 del artículo 7 de la Resolución 72146 de 2014, el cual establece que:</w:t>
      </w:r>
    </w:p>
    <w:p w14:paraId="4BC294A4" w14:textId="77777777" w:rsidR="008527FF" w:rsidRPr="00A8687A" w:rsidRDefault="008527FF" w:rsidP="005472E9">
      <w:pPr>
        <w:suppressAutoHyphens w:val="0"/>
        <w:spacing w:after="0" w:line="240" w:lineRule="auto"/>
        <w:jc w:val="both"/>
        <w:rPr>
          <w:rFonts w:ascii="Work Sans" w:hAnsi="Work Sans" w:cs="Arial"/>
          <w:sz w:val="24"/>
        </w:rPr>
      </w:pPr>
    </w:p>
    <w:p w14:paraId="6E2E577F" w14:textId="2E6E26E9" w:rsidR="00A8687A" w:rsidRPr="008527FF" w:rsidRDefault="00A8687A" w:rsidP="005472E9">
      <w:pPr>
        <w:spacing w:after="0" w:line="240" w:lineRule="auto"/>
        <w:jc w:val="both"/>
        <w:rPr>
          <w:rFonts w:ascii="Work Sans" w:hAnsi="Work Sans" w:cs="Arial"/>
          <w:szCs w:val="20"/>
        </w:rPr>
      </w:pPr>
      <w:r w:rsidRPr="008527FF">
        <w:rPr>
          <w:rFonts w:ascii="Work Sans" w:hAnsi="Work Sans" w:cs="Arial"/>
          <w:szCs w:val="20"/>
        </w:rPr>
        <w:t>“</w:t>
      </w:r>
      <w:r w:rsidRPr="008527FF">
        <w:rPr>
          <w:rFonts w:ascii="Work Sans" w:hAnsi="Work Sans" w:cs="Arial"/>
          <w:i/>
          <w:iCs/>
          <w:szCs w:val="20"/>
        </w:rPr>
        <w:t>Al resultado de esta valoración se le deben descontar las inversiones adicionales (</w:t>
      </w:r>
      <w:proofErr w:type="spellStart"/>
      <w:r w:rsidRPr="008527FF">
        <w:rPr>
          <w:rFonts w:ascii="Work Sans" w:hAnsi="Work Sans" w:cs="Arial"/>
          <w:i/>
          <w:iCs/>
          <w:szCs w:val="20"/>
        </w:rPr>
        <w:t>Ia</w:t>
      </w:r>
      <w:proofErr w:type="spellEnd"/>
      <w:r w:rsidRPr="008527FF">
        <w:rPr>
          <w:rFonts w:ascii="Work Sans" w:hAnsi="Work Sans" w:cs="Arial"/>
          <w:i/>
          <w:iCs/>
          <w:szCs w:val="20"/>
        </w:rPr>
        <w:t>) que entraron en operación en los períodos tarifarios anteriores que aún siguen vigentes y las inversiones de las tarifas de otros trayectos que coexisten con el trayecto existente, con el fin de incluir el ítem de inversión inicial (</w:t>
      </w:r>
      <w:proofErr w:type="spellStart"/>
      <w:r w:rsidRPr="008527FF">
        <w:rPr>
          <w:rFonts w:ascii="Work Sans" w:hAnsi="Work Sans" w:cs="Arial"/>
          <w:i/>
          <w:iCs/>
          <w:szCs w:val="20"/>
        </w:rPr>
        <w:t>Io</w:t>
      </w:r>
      <w:proofErr w:type="spellEnd"/>
      <w:r w:rsidRPr="008527FF">
        <w:rPr>
          <w:rFonts w:ascii="Work Sans" w:hAnsi="Work Sans" w:cs="Arial"/>
          <w:i/>
          <w:iCs/>
          <w:szCs w:val="20"/>
        </w:rPr>
        <w:t>) en el parámetro de remuneración al capital (K) en la fórmula tarifaria</w:t>
      </w:r>
      <w:r w:rsidRPr="008527FF">
        <w:rPr>
          <w:rFonts w:ascii="Work Sans" w:hAnsi="Work Sans" w:cs="Arial"/>
          <w:szCs w:val="20"/>
        </w:rPr>
        <w:t>”.</w:t>
      </w:r>
    </w:p>
    <w:p w14:paraId="4AE20894" w14:textId="77777777" w:rsidR="00F42258" w:rsidRPr="00A8687A" w:rsidRDefault="00F42258" w:rsidP="005472E9">
      <w:pPr>
        <w:spacing w:after="0" w:line="240" w:lineRule="auto"/>
        <w:jc w:val="both"/>
        <w:rPr>
          <w:rFonts w:ascii="Work Sans" w:hAnsi="Work Sans" w:cs="Arial"/>
          <w:sz w:val="24"/>
        </w:rPr>
      </w:pPr>
    </w:p>
    <w:p w14:paraId="53B8E9E8" w14:textId="52D77E2D" w:rsidR="00A8687A" w:rsidRDefault="00A8687A" w:rsidP="005472E9">
      <w:pPr>
        <w:spacing w:after="0" w:line="240" w:lineRule="auto"/>
        <w:jc w:val="both"/>
        <w:rPr>
          <w:rFonts w:ascii="Work Sans" w:hAnsi="Work Sans" w:cs="Arial"/>
          <w:sz w:val="24"/>
        </w:rPr>
      </w:pPr>
      <w:r w:rsidRPr="00A8687A">
        <w:rPr>
          <w:rFonts w:ascii="Work Sans" w:hAnsi="Work Sans" w:cs="Arial"/>
          <w:sz w:val="24"/>
        </w:rPr>
        <w:t>En consecuencia, y con el fin de validar la consistencia, trazabilidad, suficiencia, desagregación y soporte de la información utilizada dentro del proceso de valoración presentado por la sociedad, esta Dirección considera necesario contar con información técnica, financiera, contable y metodológica complementaria que permita verificar la adecuada composición de la base de activos, la razonabilidad de los valores reconocidos y la correcta aplicación de los criterios regulatorios establecidos en la metodología tarifaria vigente.</w:t>
      </w:r>
    </w:p>
    <w:p w14:paraId="1501C6A4" w14:textId="77777777" w:rsidR="008527FF" w:rsidRPr="00A8687A" w:rsidRDefault="008527FF" w:rsidP="005472E9">
      <w:pPr>
        <w:spacing w:after="0" w:line="240" w:lineRule="auto"/>
        <w:jc w:val="both"/>
        <w:rPr>
          <w:rFonts w:ascii="Work Sans" w:hAnsi="Work Sans" w:cs="Arial"/>
          <w:sz w:val="24"/>
        </w:rPr>
      </w:pPr>
    </w:p>
    <w:p w14:paraId="65B7FA55" w14:textId="48BD57B6" w:rsidR="0047546C" w:rsidRDefault="0047546C" w:rsidP="005472E9">
      <w:pPr>
        <w:spacing w:after="0" w:line="240" w:lineRule="auto"/>
        <w:jc w:val="both"/>
        <w:rPr>
          <w:rFonts w:ascii="Work Sans" w:hAnsi="Work Sans" w:cs="Arial"/>
          <w:sz w:val="24"/>
        </w:rPr>
      </w:pPr>
      <w:r w:rsidRPr="0047546C">
        <w:rPr>
          <w:rFonts w:ascii="Work Sans" w:hAnsi="Work Sans" w:cs="Arial"/>
          <w:sz w:val="24"/>
        </w:rPr>
        <w:t xml:space="preserve">Por tal razón, se solicita allegar </w:t>
      </w:r>
      <w:r w:rsidRPr="008527FF">
        <w:rPr>
          <w:rFonts w:ascii="Work Sans" w:hAnsi="Work Sans" w:cs="Arial"/>
          <w:b/>
          <w:bCs/>
          <w:sz w:val="24"/>
        </w:rPr>
        <w:t>únicamente</w:t>
      </w:r>
      <w:r w:rsidRPr="0047546C">
        <w:rPr>
          <w:rFonts w:ascii="Work Sans" w:hAnsi="Work Sans" w:cs="Arial"/>
          <w:sz w:val="24"/>
        </w:rPr>
        <w:t xml:space="preserve"> la información y documentación que se relaciona a continuación, la cual será tenida en cuenta para efectos de la evaluación y aplicación de la metodología correspondiente:</w:t>
      </w:r>
    </w:p>
    <w:p w14:paraId="22DAC3BA" w14:textId="77777777" w:rsidR="00860F97" w:rsidRPr="0047546C" w:rsidRDefault="00860F97" w:rsidP="0047546C">
      <w:pPr>
        <w:spacing w:line="240" w:lineRule="auto"/>
        <w:ind w:right="51"/>
        <w:contextualSpacing/>
        <w:jc w:val="both"/>
        <w:rPr>
          <w:rFonts w:ascii="Work Sans" w:hAnsi="Work Sans" w:cs="Arial"/>
          <w:sz w:val="24"/>
        </w:rPr>
      </w:pPr>
    </w:p>
    <w:p w14:paraId="5E0B8125" w14:textId="3E71187A" w:rsidR="0047546C" w:rsidRPr="00BB5EF4" w:rsidRDefault="0047546C" w:rsidP="0047546C">
      <w:pPr>
        <w:numPr>
          <w:ilvl w:val="0"/>
          <w:numId w:val="14"/>
        </w:numPr>
        <w:spacing w:line="240" w:lineRule="auto"/>
        <w:ind w:right="51"/>
        <w:contextualSpacing/>
        <w:jc w:val="both"/>
        <w:rPr>
          <w:rFonts w:ascii="Work Sans" w:hAnsi="Work Sans" w:cs="Arial"/>
          <w:sz w:val="24"/>
        </w:rPr>
      </w:pPr>
      <w:r w:rsidRPr="00BB5EF4">
        <w:rPr>
          <w:rFonts w:ascii="Work Sans" w:hAnsi="Work Sans" w:cs="Arial"/>
          <w:sz w:val="24"/>
        </w:rPr>
        <w:t xml:space="preserve">Diligenciar y remitir el </w:t>
      </w:r>
      <w:r w:rsidRPr="00BB5EF4">
        <w:rPr>
          <w:rFonts w:ascii="Work Sans" w:hAnsi="Work Sans" w:cs="Arial"/>
          <w:b/>
          <w:bCs/>
          <w:sz w:val="24"/>
        </w:rPr>
        <w:t>Anexo 1 – Valoración de Activos</w:t>
      </w:r>
      <w:r w:rsidRPr="00BB5EF4">
        <w:rPr>
          <w:rFonts w:ascii="Work Sans" w:hAnsi="Work Sans" w:cs="Arial"/>
          <w:sz w:val="24"/>
        </w:rPr>
        <w:t xml:space="preserve">, debidamente suscrito por el representante legal, contador y revisor fiscal. </w:t>
      </w:r>
    </w:p>
    <w:p w14:paraId="7A66425A" w14:textId="66DC3AAE" w:rsidR="0047546C" w:rsidRPr="00BB5EF4" w:rsidRDefault="0047546C" w:rsidP="0047546C">
      <w:pPr>
        <w:numPr>
          <w:ilvl w:val="0"/>
          <w:numId w:val="14"/>
        </w:numPr>
        <w:spacing w:line="240" w:lineRule="auto"/>
        <w:ind w:right="51"/>
        <w:contextualSpacing/>
        <w:jc w:val="both"/>
        <w:rPr>
          <w:rFonts w:ascii="Work Sans" w:hAnsi="Work Sans" w:cs="Arial"/>
          <w:sz w:val="24"/>
        </w:rPr>
      </w:pPr>
      <w:r w:rsidRPr="00BB5EF4">
        <w:rPr>
          <w:rFonts w:ascii="Work Sans" w:hAnsi="Work Sans" w:cs="Arial"/>
          <w:sz w:val="24"/>
        </w:rPr>
        <w:t>Presentar los estados financieros separados y comparativos, junto con sus respectivas notas explicativas comparativas, debidamente suscritos por el representante legal, contador y revisor fiscal</w:t>
      </w:r>
      <w:r w:rsidR="004F4CAD" w:rsidRPr="00BB5EF4">
        <w:rPr>
          <w:rFonts w:ascii="Work Sans" w:hAnsi="Work Sans" w:cs="Arial"/>
          <w:sz w:val="24"/>
        </w:rPr>
        <w:t xml:space="preserve"> para los </w:t>
      </w:r>
      <w:r w:rsidR="008527FF" w:rsidRPr="00BB5EF4">
        <w:rPr>
          <w:rFonts w:ascii="Work Sans" w:hAnsi="Work Sans" w:cs="Arial"/>
          <w:sz w:val="24"/>
        </w:rPr>
        <w:t>periodos 2022</w:t>
      </w:r>
      <w:r w:rsidR="00BB5EF4">
        <w:rPr>
          <w:rFonts w:ascii="Work Sans" w:hAnsi="Work Sans" w:cs="Arial"/>
          <w:sz w:val="24"/>
        </w:rPr>
        <w:t xml:space="preserve">- 2023, </w:t>
      </w:r>
      <w:r w:rsidR="004F4CAD" w:rsidRPr="00BB5EF4">
        <w:rPr>
          <w:rFonts w:ascii="Work Sans" w:hAnsi="Work Sans" w:cs="Arial"/>
          <w:sz w:val="24"/>
        </w:rPr>
        <w:t>2024</w:t>
      </w:r>
      <w:r w:rsidR="00BB5EF4">
        <w:rPr>
          <w:rFonts w:ascii="Work Sans" w:hAnsi="Work Sans" w:cs="Arial"/>
          <w:sz w:val="24"/>
        </w:rPr>
        <w:t xml:space="preserve"> y</w:t>
      </w:r>
      <w:r w:rsidR="008527FF">
        <w:rPr>
          <w:rFonts w:ascii="Work Sans" w:hAnsi="Work Sans" w:cs="Arial"/>
          <w:sz w:val="24"/>
        </w:rPr>
        <w:t xml:space="preserve"> </w:t>
      </w:r>
      <w:r w:rsidR="004F4CAD" w:rsidRPr="00BB5EF4">
        <w:rPr>
          <w:rFonts w:ascii="Work Sans" w:hAnsi="Work Sans" w:cs="Arial"/>
          <w:sz w:val="24"/>
        </w:rPr>
        <w:t>2025</w:t>
      </w:r>
      <w:r w:rsidRPr="00BB5EF4">
        <w:rPr>
          <w:rFonts w:ascii="Work Sans" w:hAnsi="Work Sans" w:cs="Arial"/>
          <w:sz w:val="24"/>
        </w:rPr>
        <w:t xml:space="preserve">. </w:t>
      </w:r>
    </w:p>
    <w:p w14:paraId="400C75B3" w14:textId="2A3BBE36" w:rsidR="0047546C" w:rsidRPr="0047546C" w:rsidRDefault="0047546C" w:rsidP="0047546C">
      <w:pPr>
        <w:numPr>
          <w:ilvl w:val="0"/>
          <w:numId w:val="14"/>
        </w:numPr>
        <w:spacing w:line="240" w:lineRule="auto"/>
        <w:ind w:right="51"/>
        <w:contextualSpacing/>
        <w:jc w:val="both"/>
        <w:rPr>
          <w:rFonts w:ascii="Work Sans" w:hAnsi="Work Sans" w:cs="Arial"/>
          <w:sz w:val="24"/>
        </w:rPr>
      </w:pPr>
      <w:r w:rsidRPr="00BB5EF4">
        <w:rPr>
          <w:rFonts w:ascii="Work Sans" w:hAnsi="Work Sans" w:cs="Arial"/>
          <w:sz w:val="24"/>
        </w:rPr>
        <w:t xml:space="preserve">Remitir la factura del impuesto predial correspondiente a la vigencia 2026 de cada uno de los </w:t>
      </w:r>
      <w:r w:rsidR="008527FF">
        <w:rPr>
          <w:rFonts w:ascii="Work Sans" w:hAnsi="Work Sans" w:cs="Arial"/>
          <w:sz w:val="24"/>
        </w:rPr>
        <w:t>predios</w:t>
      </w:r>
      <w:r w:rsidRPr="00BB5EF4">
        <w:rPr>
          <w:rFonts w:ascii="Work Sans" w:hAnsi="Work Sans" w:cs="Arial"/>
          <w:sz w:val="24"/>
        </w:rPr>
        <w:t xml:space="preserve"> discriminados en el</w:t>
      </w:r>
      <w:r w:rsidRPr="0047546C">
        <w:rPr>
          <w:rFonts w:ascii="Work Sans" w:hAnsi="Work Sans" w:cs="Arial"/>
          <w:sz w:val="24"/>
        </w:rPr>
        <w:t xml:space="preserve"> informe presentado. </w:t>
      </w:r>
    </w:p>
    <w:p w14:paraId="390C295F" w14:textId="5219A2D9" w:rsidR="0047546C" w:rsidRPr="0047546C" w:rsidRDefault="0047546C" w:rsidP="0047546C">
      <w:pPr>
        <w:numPr>
          <w:ilvl w:val="0"/>
          <w:numId w:val="14"/>
        </w:numPr>
        <w:spacing w:line="240" w:lineRule="auto"/>
        <w:ind w:right="51"/>
        <w:contextualSpacing/>
        <w:jc w:val="both"/>
        <w:rPr>
          <w:rFonts w:ascii="Work Sans" w:hAnsi="Work Sans" w:cs="Arial"/>
          <w:sz w:val="24"/>
        </w:rPr>
      </w:pPr>
      <w:r w:rsidRPr="0047546C">
        <w:rPr>
          <w:rFonts w:ascii="Work Sans" w:hAnsi="Work Sans" w:cs="Arial"/>
          <w:sz w:val="24"/>
        </w:rPr>
        <w:t>Aportar la escritura pública que soporte el valor de la</w:t>
      </w:r>
      <w:r w:rsidR="008527FF">
        <w:rPr>
          <w:rFonts w:ascii="Work Sans" w:hAnsi="Work Sans" w:cs="Arial"/>
          <w:sz w:val="24"/>
        </w:rPr>
        <w:t>s</w:t>
      </w:r>
      <w:r w:rsidRPr="0047546C">
        <w:rPr>
          <w:rFonts w:ascii="Work Sans" w:hAnsi="Work Sans" w:cs="Arial"/>
          <w:sz w:val="24"/>
        </w:rPr>
        <w:t xml:space="preserve"> servidumbre</w:t>
      </w:r>
      <w:r w:rsidR="008527FF">
        <w:rPr>
          <w:rFonts w:ascii="Work Sans" w:hAnsi="Work Sans" w:cs="Arial"/>
          <w:sz w:val="24"/>
        </w:rPr>
        <w:t>s constituidas</w:t>
      </w:r>
      <w:r w:rsidRPr="0047546C">
        <w:rPr>
          <w:rFonts w:ascii="Work Sans" w:hAnsi="Work Sans" w:cs="Arial"/>
          <w:sz w:val="24"/>
        </w:rPr>
        <w:t xml:space="preserve">, </w:t>
      </w:r>
      <w:r w:rsidR="008527FF">
        <w:rPr>
          <w:rFonts w:ascii="Work Sans" w:hAnsi="Work Sans" w:cs="Arial"/>
          <w:sz w:val="24"/>
        </w:rPr>
        <w:t xml:space="preserve">e informe con la relación de aquellas, </w:t>
      </w:r>
      <w:r w:rsidRPr="0047546C">
        <w:rPr>
          <w:rFonts w:ascii="Work Sans" w:hAnsi="Work Sans" w:cs="Arial"/>
          <w:sz w:val="24"/>
        </w:rPr>
        <w:t>certificad</w:t>
      </w:r>
      <w:r w:rsidR="008527FF">
        <w:rPr>
          <w:rFonts w:ascii="Work Sans" w:hAnsi="Work Sans" w:cs="Arial"/>
          <w:sz w:val="24"/>
        </w:rPr>
        <w:t>o</w:t>
      </w:r>
      <w:r w:rsidRPr="0047546C">
        <w:rPr>
          <w:rFonts w:ascii="Work Sans" w:hAnsi="Work Sans" w:cs="Arial"/>
          <w:sz w:val="24"/>
        </w:rPr>
        <w:t xml:space="preserve"> por el revisor fiscal. </w:t>
      </w:r>
    </w:p>
    <w:p w14:paraId="229BF715" w14:textId="3D936B8C" w:rsidR="0047546C" w:rsidRPr="00860F97" w:rsidRDefault="0047546C" w:rsidP="0047546C">
      <w:pPr>
        <w:numPr>
          <w:ilvl w:val="0"/>
          <w:numId w:val="14"/>
        </w:numPr>
        <w:spacing w:line="240" w:lineRule="auto"/>
        <w:ind w:right="51"/>
        <w:contextualSpacing/>
        <w:jc w:val="both"/>
        <w:rPr>
          <w:rFonts w:ascii="Work Sans" w:hAnsi="Work Sans" w:cs="Arial"/>
          <w:sz w:val="24"/>
        </w:rPr>
      </w:pPr>
      <w:r w:rsidRPr="0047546C">
        <w:rPr>
          <w:rFonts w:ascii="Work Sans" w:hAnsi="Work Sans" w:cs="Arial"/>
          <w:sz w:val="24"/>
        </w:rPr>
        <w:t xml:space="preserve">Presentar una certificación suscrita por el representante legal y el revisor fiscal de la sociedad, mediante la cual se avalen los resultados de la </w:t>
      </w:r>
      <w:r w:rsidRPr="0047546C">
        <w:rPr>
          <w:rFonts w:ascii="Work Sans" w:hAnsi="Work Sans" w:cs="Arial"/>
          <w:sz w:val="24"/>
        </w:rPr>
        <w:lastRenderedPageBreak/>
        <w:t xml:space="preserve">auditoría y la información consignada en el Anexo 1 – Valoración de Activos. </w:t>
      </w:r>
    </w:p>
    <w:p w14:paraId="5B919D71" w14:textId="77777777" w:rsidR="00860F97" w:rsidRPr="0047546C" w:rsidRDefault="00860F97" w:rsidP="00860F97">
      <w:pPr>
        <w:spacing w:line="240" w:lineRule="auto"/>
        <w:ind w:left="720" w:right="51"/>
        <w:contextualSpacing/>
        <w:jc w:val="both"/>
        <w:rPr>
          <w:rFonts w:ascii="Work Sans" w:hAnsi="Work Sans" w:cs="Arial"/>
          <w:sz w:val="24"/>
        </w:rPr>
      </w:pPr>
    </w:p>
    <w:p w14:paraId="5462A4BD" w14:textId="221EB707" w:rsidR="0047546C" w:rsidRDefault="0047546C" w:rsidP="005472E9">
      <w:pPr>
        <w:widowControl w:val="0"/>
        <w:suppressAutoHyphens w:val="0"/>
        <w:spacing w:after="0" w:line="240" w:lineRule="auto"/>
        <w:jc w:val="both"/>
        <w:rPr>
          <w:rFonts w:ascii="Work Sans" w:hAnsi="Work Sans" w:cs="Arial"/>
          <w:sz w:val="24"/>
        </w:rPr>
      </w:pPr>
      <w:r w:rsidRPr="0047546C">
        <w:rPr>
          <w:rFonts w:ascii="Work Sans" w:hAnsi="Work Sans" w:cs="Arial"/>
          <w:sz w:val="24"/>
        </w:rPr>
        <w:t xml:space="preserve">Para tal efecto, la sociedad contará con un plazo de </w:t>
      </w:r>
      <w:r w:rsidRPr="0047546C">
        <w:rPr>
          <w:rFonts w:ascii="Work Sans" w:hAnsi="Work Sans" w:cs="Arial"/>
          <w:b/>
          <w:bCs/>
          <w:sz w:val="24"/>
        </w:rPr>
        <w:t>diez (10) días hábiles</w:t>
      </w:r>
      <w:r w:rsidRPr="0047546C">
        <w:rPr>
          <w:rFonts w:ascii="Work Sans" w:hAnsi="Work Sans" w:cs="Arial"/>
          <w:sz w:val="24"/>
        </w:rPr>
        <w:t>, contados a partir de la recepción de la presente comunicación, para remitir la información y documentación solicitada.</w:t>
      </w:r>
    </w:p>
    <w:p w14:paraId="0F605D6A" w14:textId="7EEC6520" w:rsidR="00895867" w:rsidRDefault="00895867" w:rsidP="005472E9">
      <w:pPr>
        <w:widowControl w:val="0"/>
        <w:suppressAutoHyphens w:val="0"/>
        <w:spacing w:after="0" w:line="240" w:lineRule="auto"/>
        <w:jc w:val="both"/>
        <w:rPr>
          <w:rFonts w:ascii="Work Sans" w:hAnsi="Work Sans" w:cs="Arial"/>
          <w:sz w:val="24"/>
        </w:rPr>
      </w:pPr>
    </w:p>
    <w:p w14:paraId="40DD1CD3" w14:textId="3241AA52" w:rsidR="00407420" w:rsidRPr="00407420" w:rsidRDefault="00407420" w:rsidP="008A1F4D">
      <w:pPr>
        <w:pStyle w:val="Prrafodelista"/>
        <w:numPr>
          <w:ilvl w:val="0"/>
          <w:numId w:val="16"/>
        </w:numPr>
        <w:suppressAutoHyphens w:val="0"/>
        <w:spacing w:after="0" w:line="240" w:lineRule="auto"/>
        <w:ind w:left="0"/>
        <w:contextualSpacing w:val="0"/>
        <w:jc w:val="both"/>
        <w:rPr>
          <w:rFonts w:ascii="Work Sans" w:hAnsi="Work Sans" w:cs="Arial"/>
          <w:b/>
          <w:bCs/>
          <w:sz w:val="24"/>
        </w:rPr>
      </w:pPr>
      <w:r w:rsidRPr="00407420">
        <w:rPr>
          <w:rFonts w:ascii="Work Sans" w:hAnsi="Work Sans" w:cs="Arial"/>
          <w:b/>
          <w:bCs/>
          <w:sz w:val="24"/>
        </w:rPr>
        <w:t xml:space="preserve">Factor de Ajuste Tarifario (A) </w:t>
      </w:r>
    </w:p>
    <w:p w14:paraId="7DA79367" w14:textId="06B788BB" w:rsidR="00846DB0" w:rsidRDefault="00846DB0" w:rsidP="005472E9">
      <w:pPr>
        <w:widowControl w:val="0"/>
        <w:suppressAutoHyphens w:val="0"/>
        <w:spacing w:after="0" w:line="240" w:lineRule="auto"/>
        <w:jc w:val="both"/>
        <w:rPr>
          <w:rFonts w:ascii="Work Sans" w:hAnsi="Work Sans" w:cs="Arial"/>
          <w:sz w:val="24"/>
        </w:rPr>
      </w:pPr>
    </w:p>
    <w:p w14:paraId="55AC5C87" w14:textId="77777777" w:rsidR="008A1F4D" w:rsidRPr="008A1F4D" w:rsidRDefault="008A1F4D" w:rsidP="008A1F4D">
      <w:pPr>
        <w:widowControl w:val="0"/>
        <w:suppressAutoHyphens w:val="0"/>
        <w:spacing w:after="0" w:line="240" w:lineRule="auto"/>
        <w:jc w:val="both"/>
        <w:rPr>
          <w:rFonts w:ascii="Work Sans" w:hAnsi="Work Sans" w:cs="Arial"/>
          <w:sz w:val="24"/>
        </w:rPr>
      </w:pPr>
      <w:r w:rsidRPr="008A1F4D">
        <w:rPr>
          <w:rFonts w:ascii="Work Sans" w:hAnsi="Work Sans" w:cs="Arial"/>
          <w:sz w:val="24"/>
        </w:rPr>
        <w:t>Considerando que las tarifas objeto de análisis corresponden a tarifas transitorias y no al resultado definitivo de un período tarifario ordinario, esta Dirección considera técnicamente procedente suspender, de manera temporal, la aplicación y estimación del Factor de Ajuste Tarifario (A) dentro de la estructura tarifaria actualmente evaluada.</w:t>
      </w:r>
    </w:p>
    <w:p w14:paraId="506688F9" w14:textId="77777777" w:rsidR="008A1F4D" w:rsidRPr="008A1F4D" w:rsidRDefault="008A1F4D" w:rsidP="008A1F4D">
      <w:pPr>
        <w:widowControl w:val="0"/>
        <w:suppressAutoHyphens w:val="0"/>
        <w:spacing w:after="0" w:line="240" w:lineRule="auto"/>
        <w:jc w:val="both"/>
        <w:rPr>
          <w:rFonts w:ascii="Work Sans" w:hAnsi="Work Sans" w:cs="Arial"/>
          <w:sz w:val="24"/>
        </w:rPr>
      </w:pPr>
    </w:p>
    <w:p w14:paraId="08A1A1CF" w14:textId="77777777" w:rsidR="008A1F4D" w:rsidRPr="008A1F4D" w:rsidRDefault="008A1F4D" w:rsidP="008A1F4D">
      <w:pPr>
        <w:widowControl w:val="0"/>
        <w:suppressAutoHyphens w:val="0"/>
        <w:spacing w:after="0" w:line="240" w:lineRule="auto"/>
        <w:jc w:val="both"/>
        <w:rPr>
          <w:rFonts w:ascii="Work Sans" w:hAnsi="Work Sans" w:cs="Arial"/>
          <w:sz w:val="24"/>
        </w:rPr>
      </w:pPr>
      <w:r w:rsidRPr="008A1F4D">
        <w:rPr>
          <w:rFonts w:ascii="Work Sans" w:hAnsi="Work Sans" w:cs="Arial"/>
          <w:sz w:val="24"/>
        </w:rPr>
        <w:t>Lo anterior, sin perjuicio de las decisiones regulatorias y metodológicas que posteriormente adopte esta Dirección en el marco del proceso definitivo de revisión y fijación tarifaria, así como de las consideraciones técnicas, financieras y jurídicas que resulten aplicables conforme a la metodología que sea expedida para tal efecto.</w:t>
      </w:r>
    </w:p>
    <w:p w14:paraId="3BC94483" w14:textId="77777777" w:rsidR="008A1F4D" w:rsidRPr="008A1F4D" w:rsidRDefault="008A1F4D" w:rsidP="008A1F4D">
      <w:pPr>
        <w:widowControl w:val="0"/>
        <w:suppressAutoHyphens w:val="0"/>
        <w:spacing w:after="0" w:line="240" w:lineRule="auto"/>
        <w:jc w:val="both"/>
        <w:rPr>
          <w:rFonts w:ascii="Work Sans" w:hAnsi="Work Sans" w:cs="Arial"/>
          <w:sz w:val="24"/>
        </w:rPr>
      </w:pPr>
    </w:p>
    <w:p w14:paraId="436C38F8" w14:textId="335625EA" w:rsidR="008A1F4D" w:rsidRPr="008600E0" w:rsidRDefault="008A1F4D" w:rsidP="008A1F4D">
      <w:pPr>
        <w:widowControl w:val="0"/>
        <w:suppressAutoHyphens w:val="0"/>
        <w:spacing w:after="0" w:line="240" w:lineRule="auto"/>
        <w:jc w:val="both"/>
        <w:rPr>
          <w:rFonts w:ascii="Work Sans" w:hAnsi="Work Sans" w:cs="Arial"/>
          <w:sz w:val="24"/>
        </w:rPr>
      </w:pPr>
      <w:r w:rsidRPr="008A1F4D">
        <w:rPr>
          <w:rFonts w:ascii="Work Sans" w:hAnsi="Work Sans" w:cs="Arial"/>
          <w:sz w:val="24"/>
        </w:rPr>
        <w:t>En consecuencia, las observaciones formuladas por la sociedad respecto de la aplicación del artículo 8 de la Resolución 72146 de 2014 serán objeto de análisis dentro del correspondiente escenario administrativo y regulatorio, sin que ello releve al transportador del deber de suministrar de manera completa y oportuna la información técnica, financiera y metodológica requerida por esta Autoridad.</w:t>
      </w:r>
    </w:p>
    <w:p w14:paraId="02A32298" w14:textId="77777777" w:rsidR="0047546C" w:rsidRPr="0047546C" w:rsidRDefault="0047546C" w:rsidP="005472E9">
      <w:pPr>
        <w:widowControl w:val="0"/>
        <w:suppressAutoHyphens w:val="0"/>
        <w:spacing w:after="0" w:line="240" w:lineRule="auto"/>
        <w:jc w:val="both"/>
        <w:rPr>
          <w:rFonts w:ascii="Work Sans" w:hAnsi="Work Sans" w:cs="Arial"/>
          <w:sz w:val="24"/>
        </w:rPr>
      </w:pPr>
    </w:p>
    <w:p w14:paraId="3DC48047" w14:textId="468ECBBF" w:rsidR="004C0415" w:rsidRDefault="00A8687A" w:rsidP="008A1F4D">
      <w:pPr>
        <w:pStyle w:val="Prrafodelista"/>
        <w:numPr>
          <w:ilvl w:val="0"/>
          <w:numId w:val="16"/>
        </w:numPr>
        <w:suppressAutoHyphens w:val="0"/>
        <w:spacing w:after="0" w:line="240" w:lineRule="auto"/>
        <w:ind w:left="0"/>
        <w:contextualSpacing w:val="0"/>
        <w:jc w:val="both"/>
        <w:rPr>
          <w:rFonts w:ascii="Work Sans" w:hAnsi="Work Sans" w:cs="Arial"/>
          <w:b/>
          <w:bCs/>
          <w:sz w:val="24"/>
        </w:rPr>
      </w:pPr>
      <w:r w:rsidRPr="00A8687A">
        <w:rPr>
          <w:rFonts w:ascii="Work Sans" w:hAnsi="Work Sans" w:cs="Arial"/>
          <w:b/>
          <w:bCs/>
          <w:sz w:val="24"/>
        </w:rPr>
        <w:t>Procedimiento de fijación de tarifas</w:t>
      </w:r>
    </w:p>
    <w:p w14:paraId="10E48A19" w14:textId="77777777" w:rsidR="00B37008" w:rsidRPr="00A8687A" w:rsidRDefault="00B37008" w:rsidP="005472E9">
      <w:pPr>
        <w:widowControl w:val="0"/>
        <w:suppressAutoHyphens w:val="0"/>
        <w:spacing w:after="0" w:line="240" w:lineRule="auto"/>
        <w:jc w:val="both"/>
        <w:rPr>
          <w:rFonts w:ascii="Work Sans" w:hAnsi="Work Sans" w:cs="Arial"/>
          <w:b/>
          <w:bCs/>
          <w:sz w:val="24"/>
        </w:rPr>
      </w:pPr>
    </w:p>
    <w:p w14:paraId="3ED195F1" w14:textId="6F2B2711" w:rsidR="00B37008" w:rsidRPr="00B37008" w:rsidRDefault="00B37008" w:rsidP="005472E9">
      <w:pPr>
        <w:widowControl w:val="0"/>
        <w:suppressAutoHyphens w:val="0"/>
        <w:spacing w:after="0" w:line="240" w:lineRule="auto"/>
        <w:jc w:val="both"/>
        <w:rPr>
          <w:rFonts w:ascii="Work Sans" w:hAnsi="Work Sans" w:cs="Arial"/>
          <w:sz w:val="24"/>
        </w:rPr>
      </w:pPr>
      <w:r w:rsidRPr="00B37008">
        <w:rPr>
          <w:rFonts w:ascii="Work Sans" w:hAnsi="Work Sans" w:cs="Arial"/>
          <w:sz w:val="24"/>
        </w:rPr>
        <w:t>En atención a las consideraciones expuestas por la sociedad respecto de la dificultad de surtir la etapa de negociación dentro de los tiempos requeridos para la aplicación de las tarifas, y teniendo en cuenta que dichas tarifas tendrán aplicación mientras se expide la nueva metodología tarifaria, esta Dirección considera necesario adoptar un mecanismo que permita garantizar la continuidad, oportunidad y suficiencia técnica del proceso tarifario.</w:t>
      </w:r>
    </w:p>
    <w:p w14:paraId="097226DB" w14:textId="77777777" w:rsidR="00B37008" w:rsidRPr="00B37008" w:rsidRDefault="00B37008" w:rsidP="005472E9">
      <w:pPr>
        <w:widowControl w:val="0"/>
        <w:suppressAutoHyphens w:val="0"/>
        <w:spacing w:after="0" w:line="240" w:lineRule="auto"/>
        <w:jc w:val="both"/>
        <w:rPr>
          <w:rFonts w:ascii="Work Sans" w:hAnsi="Work Sans" w:cs="Arial"/>
          <w:sz w:val="24"/>
        </w:rPr>
      </w:pPr>
    </w:p>
    <w:p w14:paraId="7B494D09" w14:textId="7F0F9B75" w:rsidR="00B37008" w:rsidRPr="00B37008" w:rsidRDefault="00B37008" w:rsidP="005472E9">
      <w:pPr>
        <w:widowControl w:val="0"/>
        <w:suppressAutoHyphens w:val="0"/>
        <w:spacing w:after="0" w:line="240" w:lineRule="auto"/>
        <w:jc w:val="both"/>
        <w:rPr>
          <w:rFonts w:ascii="Work Sans" w:hAnsi="Work Sans" w:cs="Arial"/>
          <w:sz w:val="24"/>
        </w:rPr>
      </w:pPr>
      <w:r w:rsidRPr="00B37008">
        <w:rPr>
          <w:rFonts w:ascii="Work Sans" w:hAnsi="Work Sans" w:cs="Arial"/>
          <w:sz w:val="24"/>
        </w:rPr>
        <w:t>En ese sentido, y considerando que la metodología tarifaria definitiva se en</w:t>
      </w:r>
      <w:r w:rsidRPr="00B37008">
        <w:rPr>
          <w:rFonts w:ascii="Work Sans" w:hAnsi="Work Sans" w:cs="Arial"/>
          <w:sz w:val="24"/>
        </w:rPr>
        <w:lastRenderedPageBreak/>
        <w:t>cuentra actualmente en proceso de revisión y actualización regulatoria, se determinó que, para efectos del presente proceso de fijación tarifaria</w:t>
      </w:r>
      <w:r>
        <w:rPr>
          <w:rFonts w:ascii="Work Sans" w:hAnsi="Work Sans" w:cs="Arial"/>
          <w:sz w:val="24"/>
        </w:rPr>
        <w:t xml:space="preserve"> debido a la terminación del horizonte del oleoducto</w:t>
      </w:r>
      <w:r w:rsidRPr="00B37008">
        <w:rPr>
          <w:rFonts w:ascii="Work Sans" w:hAnsi="Work Sans" w:cs="Arial"/>
          <w:sz w:val="24"/>
        </w:rPr>
        <w:t>, la Dirección de Hidrocarburos aplicará la metodología vigente con base en la información técnica, financiera, contable y metodológica aportada por la sociedad, así como en la documentación complementaria solicitada en el numeral 3 de la presente comunicación, expidiendo para tal efecto el correspondiente acto administrativo de fijación tarifaria.</w:t>
      </w:r>
    </w:p>
    <w:p w14:paraId="461D5C4A" w14:textId="77777777" w:rsidR="00B37008" w:rsidRPr="00B37008" w:rsidRDefault="00B37008" w:rsidP="005472E9">
      <w:pPr>
        <w:widowControl w:val="0"/>
        <w:suppressAutoHyphens w:val="0"/>
        <w:spacing w:after="0" w:line="240" w:lineRule="auto"/>
        <w:jc w:val="both"/>
        <w:rPr>
          <w:rFonts w:ascii="Work Sans" w:hAnsi="Work Sans" w:cs="Arial"/>
          <w:sz w:val="24"/>
        </w:rPr>
      </w:pPr>
    </w:p>
    <w:p w14:paraId="5C12924B" w14:textId="338D6EE4" w:rsidR="00B37008" w:rsidRDefault="00B37008" w:rsidP="005472E9">
      <w:pPr>
        <w:widowControl w:val="0"/>
        <w:suppressAutoHyphens w:val="0"/>
        <w:spacing w:after="0" w:line="240" w:lineRule="auto"/>
        <w:jc w:val="both"/>
        <w:rPr>
          <w:rFonts w:ascii="Work Sans" w:hAnsi="Work Sans" w:cs="Arial"/>
          <w:sz w:val="24"/>
        </w:rPr>
      </w:pPr>
      <w:r w:rsidRPr="00B37008">
        <w:rPr>
          <w:rFonts w:ascii="Work Sans" w:hAnsi="Work Sans" w:cs="Arial"/>
          <w:sz w:val="24"/>
        </w:rPr>
        <w:t>Adicionalmente, esta Dirección considera que las precisiones efectuadas mediante el oficio No. 2-2026-</w:t>
      </w:r>
      <w:r>
        <w:rPr>
          <w:rFonts w:ascii="Work Sans" w:hAnsi="Work Sans" w:cs="Arial"/>
          <w:sz w:val="24"/>
        </w:rPr>
        <w:t>012670</w:t>
      </w:r>
      <w:r w:rsidRPr="00B37008">
        <w:rPr>
          <w:rFonts w:ascii="Work Sans" w:hAnsi="Work Sans" w:cs="Arial"/>
          <w:sz w:val="24"/>
        </w:rPr>
        <w:t xml:space="preserve"> del </w:t>
      </w:r>
      <w:r>
        <w:rPr>
          <w:rFonts w:ascii="Work Sans" w:hAnsi="Work Sans" w:cs="Arial"/>
          <w:sz w:val="24"/>
        </w:rPr>
        <w:t>01</w:t>
      </w:r>
      <w:r w:rsidRPr="00B37008">
        <w:rPr>
          <w:rFonts w:ascii="Work Sans" w:hAnsi="Work Sans" w:cs="Arial"/>
          <w:sz w:val="24"/>
        </w:rPr>
        <w:t xml:space="preserve"> de </w:t>
      </w:r>
      <w:r>
        <w:rPr>
          <w:rFonts w:ascii="Work Sans" w:hAnsi="Work Sans" w:cs="Arial"/>
          <w:sz w:val="24"/>
        </w:rPr>
        <w:t>abril</w:t>
      </w:r>
      <w:r w:rsidRPr="00B37008">
        <w:rPr>
          <w:rFonts w:ascii="Work Sans" w:hAnsi="Work Sans" w:cs="Arial"/>
          <w:sz w:val="24"/>
        </w:rPr>
        <w:t xml:space="preserve"> de 2026, el cual constituye igualmente un acto administrativo de carácter aclaratorio, resultan suficientes para precisar la forma de aplicación de la tarifa y el alcance del procedimiento adoptado.</w:t>
      </w:r>
    </w:p>
    <w:p w14:paraId="6AFA7648" w14:textId="77777777" w:rsidR="00B37008" w:rsidRPr="00B37008" w:rsidRDefault="00B37008" w:rsidP="005472E9">
      <w:pPr>
        <w:widowControl w:val="0"/>
        <w:suppressAutoHyphens w:val="0"/>
        <w:spacing w:after="0" w:line="240" w:lineRule="auto"/>
        <w:jc w:val="both"/>
        <w:rPr>
          <w:rFonts w:ascii="Work Sans" w:hAnsi="Work Sans" w:cs="Arial"/>
          <w:sz w:val="24"/>
        </w:rPr>
      </w:pPr>
    </w:p>
    <w:p w14:paraId="139996D2" w14:textId="70CC6A42" w:rsidR="00146E29" w:rsidRDefault="00B37008" w:rsidP="005472E9">
      <w:pPr>
        <w:widowControl w:val="0"/>
        <w:suppressAutoHyphens w:val="0"/>
        <w:spacing w:after="0" w:line="240" w:lineRule="auto"/>
        <w:jc w:val="both"/>
        <w:rPr>
          <w:rFonts w:ascii="Work Sans" w:hAnsi="Work Sans" w:cs="Arial"/>
          <w:sz w:val="24"/>
        </w:rPr>
      </w:pPr>
      <w:r w:rsidRPr="00B37008">
        <w:rPr>
          <w:rFonts w:ascii="Work Sans" w:hAnsi="Work Sans" w:cs="Arial"/>
          <w:sz w:val="24"/>
        </w:rPr>
        <w:t>No obstante</w:t>
      </w:r>
      <w:r w:rsidR="008A1F4D">
        <w:rPr>
          <w:rFonts w:ascii="Work Sans" w:hAnsi="Work Sans" w:cs="Arial"/>
          <w:sz w:val="24"/>
        </w:rPr>
        <w:t xml:space="preserve"> lo anterior</w:t>
      </w:r>
      <w:r w:rsidRPr="00B37008">
        <w:rPr>
          <w:rFonts w:ascii="Work Sans" w:hAnsi="Work Sans" w:cs="Arial"/>
          <w:sz w:val="24"/>
        </w:rPr>
        <w:t xml:space="preserve">, </w:t>
      </w:r>
      <w:r w:rsidR="008A1F4D">
        <w:rPr>
          <w:rFonts w:ascii="Work Sans" w:hAnsi="Work Sans" w:cs="Arial"/>
          <w:sz w:val="24"/>
        </w:rPr>
        <w:t xml:space="preserve">y </w:t>
      </w:r>
      <w:r w:rsidRPr="00B37008">
        <w:rPr>
          <w:rFonts w:ascii="Work Sans" w:hAnsi="Work Sans" w:cs="Arial"/>
          <w:sz w:val="24"/>
        </w:rPr>
        <w:t>teniendo en cuenta la solicitud presentada por OCENSA</w:t>
      </w:r>
      <w:r w:rsidR="008A1F4D">
        <w:rPr>
          <w:rFonts w:ascii="Work Sans" w:hAnsi="Work Sans" w:cs="Arial"/>
          <w:sz w:val="24"/>
        </w:rPr>
        <w:t xml:space="preserve"> S.A</w:t>
      </w:r>
      <w:r w:rsidRPr="00B37008">
        <w:rPr>
          <w:rFonts w:ascii="Work Sans" w:hAnsi="Work Sans" w:cs="Arial"/>
          <w:sz w:val="24"/>
        </w:rPr>
        <w:t xml:space="preserve">, </w:t>
      </w:r>
      <w:r w:rsidR="008A1F4D">
        <w:rPr>
          <w:rFonts w:ascii="Work Sans" w:hAnsi="Work Sans" w:cs="Arial"/>
          <w:sz w:val="24"/>
        </w:rPr>
        <w:t xml:space="preserve">con la cual se sugiere que </w:t>
      </w:r>
      <w:r w:rsidRPr="00B37008">
        <w:rPr>
          <w:rFonts w:ascii="Work Sans" w:hAnsi="Work Sans" w:cs="Arial"/>
          <w:sz w:val="24"/>
        </w:rPr>
        <w:t xml:space="preserve">dichas precisiones sean incorporadas expresamente mediante acto administrativo, esta Dirección procederá </w:t>
      </w:r>
      <w:r w:rsidR="008A1F4D">
        <w:rPr>
          <w:rFonts w:ascii="Work Sans" w:hAnsi="Work Sans" w:cs="Arial"/>
          <w:sz w:val="24"/>
        </w:rPr>
        <w:t xml:space="preserve">emitiendo auto que resuelve la reposición formulada, con la cual se realizarán las aclaraciones </w:t>
      </w:r>
      <w:r w:rsidRPr="00B37008">
        <w:rPr>
          <w:rFonts w:ascii="Work Sans" w:hAnsi="Work Sans" w:cs="Arial"/>
          <w:sz w:val="24"/>
        </w:rPr>
        <w:t>correspondiente</w:t>
      </w:r>
      <w:r w:rsidR="008A1F4D">
        <w:rPr>
          <w:rFonts w:ascii="Work Sans" w:hAnsi="Work Sans" w:cs="Arial"/>
          <w:sz w:val="24"/>
        </w:rPr>
        <w:t>s</w:t>
      </w:r>
      <w:r w:rsidRPr="00B37008">
        <w:rPr>
          <w:rFonts w:ascii="Work Sans" w:hAnsi="Work Sans" w:cs="Arial"/>
          <w:sz w:val="24"/>
        </w:rPr>
        <w:t>, con el fin de brindar mayor seguridad jurídica y claridad sobre el procedimiento aplicable durante el período</w:t>
      </w:r>
      <w:r w:rsidR="00EE4E97">
        <w:rPr>
          <w:rFonts w:ascii="Work Sans" w:hAnsi="Work Sans" w:cs="Arial"/>
          <w:sz w:val="24"/>
        </w:rPr>
        <w:t>.</w:t>
      </w:r>
    </w:p>
    <w:p w14:paraId="02C1BA9A" w14:textId="5D20585F" w:rsidR="00895867" w:rsidRDefault="00895867" w:rsidP="005472E9">
      <w:pPr>
        <w:widowControl w:val="0"/>
        <w:suppressAutoHyphens w:val="0"/>
        <w:spacing w:after="0" w:line="240" w:lineRule="auto"/>
        <w:jc w:val="both"/>
        <w:rPr>
          <w:rFonts w:ascii="Work Sans" w:hAnsi="Work Sans" w:cs="Arial"/>
          <w:sz w:val="24"/>
        </w:rPr>
      </w:pPr>
    </w:p>
    <w:p w14:paraId="734799C3" w14:textId="4D0FDA1C" w:rsidR="00895867" w:rsidRPr="00547615" w:rsidRDefault="008A1F4D" w:rsidP="008A1F4D">
      <w:pPr>
        <w:pStyle w:val="Prrafodelista"/>
        <w:numPr>
          <w:ilvl w:val="0"/>
          <w:numId w:val="16"/>
        </w:numPr>
        <w:suppressAutoHyphens w:val="0"/>
        <w:spacing w:after="0" w:line="240" w:lineRule="auto"/>
        <w:ind w:left="0"/>
        <w:contextualSpacing w:val="0"/>
        <w:jc w:val="both"/>
        <w:rPr>
          <w:rFonts w:ascii="Work Sans" w:hAnsi="Work Sans" w:cs="Arial"/>
          <w:b/>
          <w:bCs/>
          <w:sz w:val="24"/>
        </w:rPr>
      </w:pPr>
      <w:r>
        <w:rPr>
          <w:rFonts w:ascii="Work Sans" w:hAnsi="Work Sans" w:cs="Arial"/>
          <w:b/>
          <w:bCs/>
          <w:sz w:val="24"/>
        </w:rPr>
        <w:t>O</w:t>
      </w:r>
      <w:r w:rsidR="00BB4126" w:rsidRPr="00547615">
        <w:rPr>
          <w:rFonts w:ascii="Work Sans" w:hAnsi="Work Sans" w:cs="Arial"/>
          <w:b/>
          <w:bCs/>
          <w:sz w:val="24"/>
        </w:rPr>
        <w:t>tros</w:t>
      </w:r>
      <w:r w:rsidR="00895867" w:rsidRPr="00547615">
        <w:rPr>
          <w:rFonts w:ascii="Work Sans" w:hAnsi="Work Sans" w:cs="Arial"/>
          <w:b/>
          <w:bCs/>
          <w:sz w:val="24"/>
        </w:rPr>
        <w:t xml:space="preserve"> aspectos</w:t>
      </w:r>
    </w:p>
    <w:p w14:paraId="3F63EDCA" w14:textId="77777777" w:rsidR="00895867" w:rsidRDefault="00895867" w:rsidP="005472E9">
      <w:pPr>
        <w:widowControl w:val="0"/>
        <w:suppressAutoHyphens w:val="0"/>
        <w:spacing w:after="0" w:line="240" w:lineRule="auto"/>
        <w:jc w:val="both"/>
        <w:rPr>
          <w:rFonts w:ascii="Work Sans" w:hAnsi="Work Sans" w:cs="Arial"/>
          <w:sz w:val="24"/>
        </w:rPr>
      </w:pPr>
    </w:p>
    <w:p w14:paraId="4850BF43" w14:textId="089399E5" w:rsidR="00895867" w:rsidRPr="00895867" w:rsidRDefault="00895867" w:rsidP="008A1F4D">
      <w:pPr>
        <w:pStyle w:val="Prrafodelista"/>
        <w:numPr>
          <w:ilvl w:val="1"/>
          <w:numId w:val="16"/>
        </w:numPr>
        <w:suppressAutoHyphens w:val="0"/>
        <w:spacing w:after="0" w:line="240" w:lineRule="auto"/>
        <w:ind w:left="0" w:hanging="426"/>
        <w:contextualSpacing w:val="0"/>
        <w:jc w:val="both"/>
        <w:rPr>
          <w:rFonts w:ascii="Work Sans" w:hAnsi="Work Sans" w:cs="Arial"/>
          <w:b/>
          <w:bCs/>
          <w:sz w:val="24"/>
        </w:rPr>
      </w:pPr>
      <w:r w:rsidRPr="00895867">
        <w:rPr>
          <w:rFonts w:ascii="Work Sans" w:hAnsi="Work Sans" w:cs="Arial"/>
          <w:b/>
          <w:bCs/>
          <w:sz w:val="24"/>
        </w:rPr>
        <w:t>Tratamiento del Proyecto de Ampliación P-135</w:t>
      </w:r>
    </w:p>
    <w:p w14:paraId="5CC642D5" w14:textId="77777777" w:rsidR="00895867" w:rsidRPr="00895867" w:rsidRDefault="00895867" w:rsidP="005472E9">
      <w:pPr>
        <w:widowControl w:val="0"/>
        <w:suppressAutoHyphens w:val="0"/>
        <w:spacing w:after="0" w:line="240" w:lineRule="auto"/>
        <w:jc w:val="both"/>
        <w:rPr>
          <w:rFonts w:ascii="Work Sans" w:hAnsi="Work Sans" w:cs="Arial"/>
          <w:sz w:val="24"/>
        </w:rPr>
      </w:pPr>
    </w:p>
    <w:p w14:paraId="3CFEC8E2" w14:textId="09B7270F" w:rsidR="00895867" w:rsidRPr="00895867" w:rsidRDefault="00895867" w:rsidP="005472E9">
      <w:pPr>
        <w:widowControl w:val="0"/>
        <w:suppressAutoHyphens w:val="0"/>
        <w:spacing w:after="0" w:line="240" w:lineRule="auto"/>
        <w:jc w:val="both"/>
        <w:rPr>
          <w:rFonts w:ascii="Work Sans" w:hAnsi="Work Sans" w:cs="Arial"/>
          <w:sz w:val="24"/>
        </w:rPr>
      </w:pPr>
      <w:r w:rsidRPr="00895867">
        <w:rPr>
          <w:rFonts w:ascii="Work Sans" w:hAnsi="Work Sans" w:cs="Arial"/>
          <w:sz w:val="24"/>
        </w:rPr>
        <w:t xml:space="preserve">Respecto de la solicitud presentada por </w:t>
      </w:r>
      <w:proofErr w:type="gramStart"/>
      <w:r w:rsidR="008A1F4D" w:rsidRPr="00895867">
        <w:rPr>
          <w:rFonts w:ascii="Work Sans" w:hAnsi="Work Sans" w:cs="Arial"/>
          <w:sz w:val="24"/>
        </w:rPr>
        <w:t xml:space="preserve">OCENSA </w:t>
      </w:r>
      <w:r w:rsidR="008A1F4D">
        <w:rPr>
          <w:rFonts w:ascii="Work Sans" w:hAnsi="Work Sans" w:cs="Arial"/>
          <w:sz w:val="24"/>
        </w:rPr>
        <w:t xml:space="preserve"> S.A</w:t>
      </w:r>
      <w:proofErr w:type="gramEnd"/>
      <w:r w:rsidR="008A1F4D">
        <w:rPr>
          <w:rFonts w:ascii="Work Sans" w:hAnsi="Work Sans" w:cs="Arial"/>
          <w:sz w:val="24"/>
        </w:rPr>
        <w:t xml:space="preserve"> </w:t>
      </w:r>
      <w:r w:rsidRPr="00895867">
        <w:rPr>
          <w:rFonts w:ascii="Work Sans" w:hAnsi="Work Sans" w:cs="Arial"/>
          <w:sz w:val="24"/>
        </w:rPr>
        <w:t>sobre el tratamiento tarifario del Proyecto de Ampliación P-135, esta Dirección precisa que el parágrafo del artículo 13 de la Resolución 72146 de 2014 establece que la vigencia de la tarifa aplicable a trayectos nuevos es de diez (10) años, contados a partir de la fecha definida en el acto administrativo de inicio de operaciones del respectivo proyecto.</w:t>
      </w:r>
    </w:p>
    <w:p w14:paraId="156D6856" w14:textId="77777777" w:rsidR="00895867" w:rsidRPr="00895867" w:rsidRDefault="00895867" w:rsidP="005472E9">
      <w:pPr>
        <w:widowControl w:val="0"/>
        <w:suppressAutoHyphens w:val="0"/>
        <w:spacing w:after="0" w:line="240" w:lineRule="auto"/>
        <w:jc w:val="both"/>
        <w:rPr>
          <w:rFonts w:ascii="Work Sans" w:hAnsi="Work Sans" w:cs="Arial"/>
          <w:sz w:val="24"/>
        </w:rPr>
      </w:pPr>
    </w:p>
    <w:p w14:paraId="214863BE" w14:textId="77777777" w:rsidR="00895867" w:rsidRPr="00895867" w:rsidRDefault="00895867" w:rsidP="005472E9">
      <w:pPr>
        <w:widowControl w:val="0"/>
        <w:suppressAutoHyphens w:val="0"/>
        <w:spacing w:after="0" w:line="240" w:lineRule="auto"/>
        <w:jc w:val="both"/>
        <w:rPr>
          <w:rFonts w:ascii="Work Sans" w:hAnsi="Work Sans" w:cs="Arial"/>
          <w:sz w:val="24"/>
        </w:rPr>
      </w:pPr>
      <w:r w:rsidRPr="00895867">
        <w:rPr>
          <w:rFonts w:ascii="Work Sans" w:hAnsi="Work Sans" w:cs="Arial"/>
          <w:sz w:val="24"/>
        </w:rPr>
        <w:t>En consecuencia, mientras se encuentre vigente dicho período, es decir, hasta el 30 de junio de 2027, los activos asociados al Proyecto P-135 deberán mantener el tratamiento tarifario independiente previsto en la regulación. Por tanto, para efectos de las Tarifas Transitorias adoptadas mediante la Resolución 232 de 2026, resulta procedente excluir dichos activos del valor de inversión inicial (</w:t>
      </w:r>
      <w:proofErr w:type="spellStart"/>
      <w:r w:rsidRPr="00895867">
        <w:rPr>
          <w:rFonts w:ascii="Work Sans" w:hAnsi="Work Sans" w:cs="Arial"/>
          <w:sz w:val="24"/>
        </w:rPr>
        <w:t>Io</w:t>
      </w:r>
      <w:proofErr w:type="spellEnd"/>
      <w:r w:rsidRPr="00895867">
        <w:rPr>
          <w:rFonts w:ascii="Work Sans" w:hAnsi="Work Sans" w:cs="Arial"/>
          <w:sz w:val="24"/>
        </w:rPr>
        <w:t xml:space="preserve">), evitando una doble remuneración de inversiones que actualmente cuentan con </w:t>
      </w:r>
      <w:r w:rsidRPr="00895867">
        <w:rPr>
          <w:rFonts w:ascii="Work Sans" w:hAnsi="Work Sans" w:cs="Arial"/>
          <w:sz w:val="24"/>
        </w:rPr>
        <w:lastRenderedPageBreak/>
        <w:t>un esquema tarifario específico de recuperación.</w:t>
      </w:r>
    </w:p>
    <w:p w14:paraId="712721D9" w14:textId="77777777" w:rsidR="00895867" w:rsidRPr="00895867" w:rsidRDefault="00895867" w:rsidP="005472E9">
      <w:pPr>
        <w:widowControl w:val="0"/>
        <w:suppressAutoHyphens w:val="0"/>
        <w:spacing w:after="0" w:line="240" w:lineRule="auto"/>
        <w:jc w:val="both"/>
        <w:rPr>
          <w:rFonts w:ascii="Work Sans" w:hAnsi="Work Sans" w:cs="Arial"/>
          <w:sz w:val="24"/>
        </w:rPr>
      </w:pPr>
    </w:p>
    <w:p w14:paraId="199E08A4" w14:textId="59BD7C5B" w:rsidR="00895867" w:rsidRPr="00895867" w:rsidRDefault="00895867" w:rsidP="005472E9">
      <w:pPr>
        <w:widowControl w:val="0"/>
        <w:suppressAutoHyphens w:val="0"/>
        <w:spacing w:after="0" w:line="240" w:lineRule="auto"/>
        <w:jc w:val="both"/>
        <w:rPr>
          <w:rFonts w:ascii="Work Sans" w:hAnsi="Work Sans" w:cs="Arial"/>
          <w:sz w:val="24"/>
        </w:rPr>
      </w:pPr>
      <w:r w:rsidRPr="00895867">
        <w:rPr>
          <w:rFonts w:ascii="Work Sans" w:hAnsi="Work Sans" w:cs="Arial"/>
          <w:sz w:val="24"/>
        </w:rPr>
        <w:t xml:space="preserve">Una vez finalizado el período tarifario especial, los activos del Proyecto P-135 deberán incorporarse </w:t>
      </w:r>
      <w:r w:rsidR="00DC78AF">
        <w:rPr>
          <w:rFonts w:ascii="Work Sans" w:hAnsi="Work Sans" w:cs="Arial"/>
          <w:sz w:val="24"/>
        </w:rPr>
        <w:t xml:space="preserve">dentro </w:t>
      </w:r>
      <w:r w:rsidRPr="00895867">
        <w:rPr>
          <w:rFonts w:ascii="Work Sans" w:hAnsi="Work Sans" w:cs="Arial"/>
          <w:sz w:val="24"/>
        </w:rPr>
        <w:t>de la estimación del Costo de Reposición Depreciado (CRD), su valoración definitiva deberá sujetarse a la revisión y validación regulatoria correspondiente, con el fin de garantizar que refleje adecuadamente el valor económico y regulatorio del sistema de transporte.</w:t>
      </w:r>
    </w:p>
    <w:p w14:paraId="5EBE4814" w14:textId="77777777" w:rsidR="00895867" w:rsidRPr="00895867" w:rsidRDefault="00895867" w:rsidP="005472E9">
      <w:pPr>
        <w:widowControl w:val="0"/>
        <w:suppressAutoHyphens w:val="0"/>
        <w:spacing w:after="0" w:line="240" w:lineRule="auto"/>
        <w:jc w:val="both"/>
        <w:rPr>
          <w:rFonts w:ascii="Work Sans" w:hAnsi="Work Sans" w:cs="Arial"/>
          <w:sz w:val="24"/>
        </w:rPr>
      </w:pPr>
    </w:p>
    <w:p w14:paraId="4340F6BE" w14:textId="44E01290" w:rsidR="00895867" w:rsidRPr="00B37008" w:rsidRDefault="00895867" w:rsidP="005472E9">
      <w:pPr>
        <w:widowControl w:val="0"/>
        <w:suppressAutoHyphens w:val="0"/>
        <w:spacing w:after="0" w:line="240" w:lineRule="auto"/>
        <w:jc w:val="both"/>
        <w:rPr>
          <w:rFonts w:ascii="Work Sans" w:hAnsi="Work Sans" w:cs="Arial"/>
          <w:sz w:val="24"/>
        </w:rPr>
      </w:pPr>
      <w:r w:rsidRPr="00895867">
        <w:rPr>
          <w:rFonts w:ascii="Work Sans" w:hAnsi="Work Sans" w:cs="Arial"/>
          <w:sz w:val="24"/>
        </w:rPr>
        <w:t>De igual forma, los volúmenes asociados al trayecto ampliado deberán incorporarse a la variable de proyección de volúmenes (Q) a partir del momento en que los activos sean integrados a la base tarifaria general, garantizando consistencia entre la remuneración de los activos y la demanda regulatoria considerada en la tarifa.</w:t>
      </w:r>
    </w:p>
    <w:p w14:paraId="7F928FB5" w14:textId="4CBF8116" w:rsidR="00484A5A" w:rsidRDefault="00484A5A" w:rsidP="005472E9">
      <w:pPr>
        <w:widowControl w:val="0"/>
        <w:suppressAutoHyphens w:val="0"/>
        <w:spacing w:after="0" w:line="240" w:lineRule="auto"/>
        <w:jc w:val="both"/>
        <w:rPr>
          <w:rFonts w:ascii="Work Sans" w:hAnsi="Work Sans" w:cs="Arial"/>
          <w:sz w:val="24"/>
        </w:rPr>
      </w:pPr>
    </w:p>
    <w:p w14:paraId="5A73A6C3" w14:textId="0E25FD2E" w:rsidR="00547615" w:rsidRPr="00547615" w:rsidRDefault="00547615" w:rsidP="008A1F4D">
      <w:pPr>
        <w:pStyle w:val="Prrafodelista"/>
        <w:numPr>
          <w:ilvl w:val="1"/>
          <w:numId w:val="16"/>
        </w:numPr>
        <w:suppressAutoHyphens w:val="0"/>
        <w:spacing w:after="0" w:line="240" w:lineRule="auto"/>
        <w:ind w:left="0" w:hanging="426"/>
        <w:contextualSpacing w:val="0"/>
        <w:jc w:val="both"/>
        <w:rPr>
          <w:rFonts w:ascii="Work Sans" w:hAnsi="Work Sans" w:cs="Arial"/>
          <w:b/>
          <w:bCs/>
          <w:sz w:val="24"/>
        </w:rPr>
      </w:pPr>
      <w:r w:rsidRPr="00547615">
        <w:rPr>
          <w:rFonts w:ascii="Work Sans" w:hAnsi="Work Sans" w:cs="Arial"/>
          <w:b/>
          <w:bCs/>
          <w:sz w:val="24"/>
        </w:rPr>
        <w:t>Fondo de abandono</w:t>
      </w:r>
    </w:p>
    <w:p w14:paraId="21D17343" w14:textId="77777777" w:rsidR="00547615" w:rsidRPr="00547615" w:rsidRDefault="00547615" w:rsidP="005472E9">
      <w:pPr>
        <w:widowControl w:val="0"/>
        <w:suppressAutoHyphens w:val="0"/>
        <w:spacing w:after="0" w:line="240" w:lineRule="auto"/>
        <w:jc w:val="both"/>
        <w:rPr>
          <w:rFonts w:ascii="Work Sans" w:hAnsi="Work Sans" w:cs="Arial"/>
          <w:sz w:val="24"/>
        </w:rPr>
      </w:pPr>
    </w:p>
    <w:p w14:paraId="7B3FA4CF" w14:textId="77777777" w:rsidR="00547615" w:rsidRPr="00547615" w:rsidRDefault="00547615" w:rsidP="005472E9">
      <w:pPr>
        <w:widowControl w:val="0"/>
        <w:suppressAutoHyphens w:val="0"/>
        <w:spacing w:after="0" w:line="240" w:lineRule="auto"/>
        <w:jc w:val="both"/>
        <w:rPr>
          <w:rFonts w:ascii="Work Sans" w:hAnsi="Work Sans" w:cs="Arial"/>
          <w:sz w:val="24"/>
        </w:rPr>
      </w:pPr>
      <w:r w:rsidRPr="00547615">
        <w:rPr>
          <w:rFonts w:ascii="Work Sans" w:hAnsi="Work Sans" w:cs="Arial"/>
          <w:sz w:val="24"/>
        </w:rPr>
        <w:t>Frente a las observaciones presentadas por Ocensa sobre el tratamiento del fondo de abandono, esta Dirección precisa que el artículo 7 y la Fórmula Anexa No. 4 de la Resolución 72146 de 2014 contemplan la posibilidad de incorporar en la tarifa un componente asociado al aporte a dicho fondo, sujeto al cumplimiento de los requisitos técnicos, regulatorios y ambientales allí establecidos.</w:t>
      </w:r>
    </w:p>
    <w:p w14:paraId="53A28060" w14:textId="77777777" w:rsidR="00547615" w:rsidRPr="00547615" w:rsidRDefault="00547615" w:rsidP="005472E9">
      <w:pPr>
        <w:widowControl w:val="0"/>
        <w:suppressAutoHyphens w:val="0"/>
        <w:spacing w:after="0" w:line="240" w:lineRule="auto"/>
        <w:jc w:val="both"/>
        <w:rPr>
          <w:rFonts w:ascii="Work Sans" w:hAnsi="Work Sans" w:cs="Arial"/>
          <w:sz w:val="24"/>
        </w:rPr>
      </w:pPr>
    </w:p>
    <w:p w14:paraId="1C23C15D" w14:textId="77777777" w:rsidR="00547615" w:rsidRPr="00547615" w:rsidRDefault="00547615" w:rsidP="005472E9">
      <w:pPr>
        <w:widowControl w:val="0"/>
        <w:suppressAutoHyphens w:val="0"/>
        <w:spacing w:after="0" w:line="240" w:lineRule="auto"/>
        <w:jc w:val="both"/>
        <w:rPr>
          <w:rFonts w:ascii="Work Sans" w:hAnsi="Work Sans" w:cs="Arial"/>
          <w:sz w:val="24"/>
        </w:rPr>
      </w:pPr>
      <w:r w:rsidRPr="00547615">
        <w:rPr>
          <w:rFonts w:ascii="Work Sans" w:hAnsi="Work Sans" w:cs="Arial"/>
          <w:sz w:val="24"/>
        </w:rPr>
        <w:t>Durante la revisión adelantada en el marco de la Resolución 232 de 2026, la Sociedad manifestó que actualmente no cuenta con una estimación definida de los costos de abandono ni con los soportes técnicos, económicos y metodológicos que permitan sustentar su incorporación tarifaria.</w:t>
      </w:r>
    </w:p>
    <w:p w14:paraId="22BDC223" w14:textId="77777777" w:rsidR="00547615" w:rsidRPr="00547615" w:rsidRDefault="00547615" w:rsidP="005472E9">
      <w:pPr>
        <w:widowControl w:val="0"/>
        <w:suppressAutoHyphens w:val="0"/>
        <w:spacing w:after="0" w:line="240" w:lineRule="auto"/>
        <w:jc w:val="both"/>
        <w:rPr>
          <w:rFonts w:ascii="Work Sans" w:hAnsi="Work Sans" w:cs="Arial"/>
          <w:sz w:val="24"/>
        </w:rPr>
      </w:pPr>
    </w:p>
    <w:p w14:paraId="64CD78C7" w14:textId="77777777" w:rsidR="00547615" w:rsidRPr="00547615" w:rsidRDefault="00547615" w:rsidP="005472E9">
      <w:pPr>
        <w:widowControl w:val="0"/>
        <w:suppressAutoHyphens w:val="0"/>
        <w:spacing w:after="0" w:line="240" w:lineRule="auto"/>
        <w:jc w:val="both"/>
        <w:rPr>
          <w:rFonts w:ascii="Work Sans" w:hAnsi="Work Sans" w:cs="Arial"/>
          <w:sz w:val="24"/>
        </w:rPr>
      </w:pPr>
      <w:r w:rsidRPr="00547615">
        <w:rPr>
          <w:rFonts w:ascii="Work Sans" w:hAnsi="Work Sans" w:cs="Arial"/>
          <w:sz w:val="24"/>
        </w:rPr>
        <w:t>Si bien la eventual inclusión de este componente requiere el desarrollo de criterios regulatorios y metodológicos que permitan definir de manera objetiva su estimación, recaudo y administración, ello no exime al transportador de contar con información que permita verificar la situación actual de las provisiones asociadas a este concepto.</w:t>
      </w:r>
    </w:p>
    <w:p w14:paraId="399F4FBF" w14:textId="77777777" w:rsidR="00547615" w:rsidRPr="00547615" w:rsidRDefault="00547615" w:rsidP="005472E9">
      <w:pPr>
        <w:widowControl w:val="0"/>
        <w:suppressAutoHyphens w:val="0"/>
        <w:spacing w:after="0" w:line="240" w:lineRule="auto"/>
        <w:jc w:val="both"/>
        <w:rPr>
          <w:rFonts w:ascii="Work Sans" w:hAnsi="Work Sans" w:cs="Arial"/>
          <w:sz w:val="24"/>
        </w:rPr>
      </w:pPr>
    </w:p>
    <w:p w14:paraId="2FC329FB" w14:textId="12C61446" w:rsidR="00547615" w:rsidRPr="00547615" w:rsidRDefault="00547615" w:rsidP="005472E9">
      <w:pPr>
        <w:widowControl w:val="0"/>
        <w:suppressAutoHyphens w:val="0"/>
        <w:spacing w:after="0" w:line="240" w:lineRule="auto"/>
        <w:jc w:val="both"/>
        <w:rPr>
          <w:rFonts w:ascii="Work Sans" w:hAnsi="Work Sans" w:cs="Arial"/>
          <w:sz w:val="24"/>
        </w:rPr>
      </w:pPr>
      <w:r w:rsidRPr="00547615">
        <w:rPr>
          <w:rFonts w:ascii="Work Sans" w:hAnsi="Work Sans" w:cs="Arial"/>
          <w:sz w:val="24"/>
        </w:rPr>
        <w:t>En consecuencia, se solicita a la Sociedad allegar certificación suscrita por el Representante Legal y el Revisor Fiscal de Oleoducto Central S.A.  OCENSA, en la que se indique expresamente si, a la fecha, existen o no provisiones contables, financieras o de cualquier otra naturaleza destinadas a cubrir obligaciones relacionadas con el abandono de la infraestructura de transporte.</w:t>
      </w:r>
    </w:p>
    <w:p w14:paraId="6D2E429F" w14:textId="77777777" w:rsidR="00547615" w:rsidRPr="00547615" w:rsidRDefault="00547615" w:rsidP="005472E9">
      <w:pPr>
        <w:widowControl w:val="0"/>
        <w:suppressAutoHyphens w:val="0"/>
        <w:spacing w:after="0" w:line="240" w:lineRule="auto"/>
        <w:jc w:val="both"/>
        <w:rPr>
          <w:rFonts w:ascii="Work Sans" w:hAnsi="Work Sans" w:cs="Arial"/>
          <w:sz w:val="24"/>
        </w:rPr>
      </w:pPr>
    </w:p>
    <w:p w14:paraId="22BEAFB2" w14:textId="77777777" w:rsidR="00547615" w:rsidRPr="00547615" w:rsidRDefault="00547615" w:rsidP="005472E9">
      <w:pPr>
        <w:widowControl w:val="0"/>
        <w:suppressAutoHyphens w:val="0"/>
        <w:spacing w:after="0" w:line="240" w:lineRule="auto"/>
        <w:jc w:val="both"/>
        <w:rPr>
          <w:rFonts w:ascii="Work Sans" w:hAnsi="Work Sans" w:cs="Arial"/>
          <w:sz w:val="24"/>
        </w:rPr>
      </w:pPr>
      <w:r w:rsidRPr="00547615">
        <w:rPr>
          <w:rFonts w:ascii="Work Sans" w:hAnsi="Work Sans" w:cs="Arial"/>
          <w:sz w:val="24"/>
        </w:rPr>
        <w:t>Lo anterior permitirá contar con el soporte documental necesario para la evaluación técnica y regulatoria correspondiente dentro del presente trámite tarifario.</w:t>
      </w:r>
    </w:p>
    <w:p w14:paraId="086702BB" w14:textId="77777777" w:rsidR="00547615" w:rsidRPr="00547615" w:rsidRDefault="00547615" w:rsidP="005472E9">
      <w:pPr>
        <w:widowControl w:val="0"/>
        <w:suppressAutoHyphens w:val="0"/>
        <w:spacing w:after="0" w:line="240" w:lineRule="auto"/>
        <w:jc w:val="both"/>
        <w:rPr>
          <w:rFonts w:ascii="Work Sans" w:hAnsi="Work Sans" w:cs="Arial"/>
          <w:sz w:val="24"/>
        </w:rPr>
      </w:pPr>
    </w:p>
    <w:p w14:paraId="69C81483" w14:textId="72E062D9" w:rsidR="00547615" w:rsidRPr="00F36831" w:rsidRDefault="00547615" w:rsidP="005472E9">
      <w:pPr>
        <w:widowControl w:val="0"/>
        <w:suppressAutoHyphens w:val="0"/>
        <w:spacing w:after="0" w:line="240" w:lineRule="auto"/>
        <w:jc w:val="both"/>
        <w:rPr>
          <w:rFonts w:ascii="Work Sans" w:hAnsi="Work Sans" w:cs="Arial"/>
          <w:sz w:val="24"/>
        </w:rPr>
      </w:pPr>
      <w:r w:rsidRPr="00547615">
        <w:rPr>
          <w:rFonts w:ascii="Work Sans" w:hAnsi="Work Sans" w:cs="Arial"/>
          <w:sz w:val="24"/>
        </w:rPr>
        <w:t>Finalmente, se reitera que la eventual incorporación tarifaria del fondo de abandono deberá sujetarse a las definiciones metodológicas que se adopten para el sector y a las condiciones técnicas, regulatorias y ambientales que resulten aplicables.</w:t>
      </w:r>
    </w:p>
    <w:p w14:paraId="34A00399" w14:textId="77777777" w:rsidR="00484A5A" w:rsidRPr="00F36831" w:rsidRDefault="00484A5A" w:rsidP="00484A5A">
      <w:pPr>
        <w:spacing w:line="240" w:lineRule="auto"/>
        <w:ind w:right="51"/>
        <w:contextualSpacing/>
        <w:jc w:val="both"/>
        <w:rPr>
          <w:rFonts w:ascii="Work Sans" w:hAnsi="Work Sans" w:cs="Arial"/>
          <w:sz w:val="24"/>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E731" w14:textId="77777777" w:rsidR="00B06E07" w:rsidRDefault="00B06E07">
      <w:pPr>
        <w:spacing w:after="0" w:line="240" w:lineRule="auto"/>
      </w:pPr>
      <w:r>
        <w:separator/>
      </w:r>
    </w:p>
  </w:endnote>
  <w:endnote w:type="continuationSeparator" w:id="0">
    <w:p w14:paraId="7B9810BB" w14:textId="77777777" w:rsidR="00B06E07" w:rsidRDefault="00B06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5C796" w14:textId="77777777" w:rsidR="00B06E07" w:rsidRDefault="00B06E07">
      <w:pPr>
        <w:spacing w:after="0" w:line="240" w:lineRule="auto"/>
      </w:pPr>
      <w:r>
        <w:separator/>
      </w:r>
    </w:p>
  </w:footnote>
  <w:footnote w:type="continuationSeparator" w:id="0">
    <w:p w14:paraId="56E338B8" w14:textId="77777777" w:rsidR="00B06E07" w:rsidRDefault="00B06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BBA42"/>
    <w:multiLevelType w:val="hybridMultilevel"/>
    <w:tmpl w:val="B21C5F5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2E5889"/>
    <w:multiLevelType w:val="multilevel"/>
    <w:tmpl w:val="715EA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5B0B84"/>
    <w:multiLevelType w:val="multilevel"/>
    <w:tmpl w:val="F9EA2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DB7DEA"/>
    <w:multiLevelType w:val="multilevel"/>
    <w:tmpl w:val="7E920D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4603520"/>
    <w:multiLevelType w:val="multilevel"/>
    <w:tmpl w:val="77183B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3E41F7"/>
    <w:multiLevelType w:val="multilevel"/>
    <w:tmpl w:val="B7E8E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4C2137"/>
    <w:multiLevelType w:val="hybridMultilevel"/>
    <w:tmpl w:val="EB76D20A"/>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169A8"/>
    <w:multiLevelType w:val="hybridMultilevel"/>
    <w:tmpl w:val="5B0429B8"/>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399D78A9"/>
    <w:multiLevelType w:val="multilevel"/>
    <w:tmpl w:val="58562D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DF3F97"/>
    <w:multiLevelType w:val="multilevel"/>
    <w:tmpl w:val="88BCF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4C2116"/>
    <w:multiLevelType w:val="hybridMultilevel"/>
    <w:tmpl w:val="BDEC94F6"/>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D96CCD"/>
    <w:multiLevelType w:val="multilevel"/>
    <w:tmpl w:val="672210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524A3630"/>
    <w:multiLevelType w:val="hybridMultilevel"/>
    <w:tmpl w:val="1E3E92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16414EE"/>
    <w:multiLevelType w:val="multilevel"/>
    <w:tmpl w:val="B7E8E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DD34E7"/>
    <w:multiLevelType w:val="multilevel"/>
    <w:tmpl w:val="B7E8E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9E4F76"/>
    <w:multiLevelType w:val="multilevel"/>
    <w:tmpl w:val="641ABA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8185938">
    <w:abstractNumId w:val="2"/>
  </w:num>
  <w:num w:numId="2" w16cid:durableId="309676846">
    <w:abstractNumId w:val="8"/>
  </w:num>
  <w:num w:numId="3" w16cid:durableId="89353761">
    <w:abstractNumId w:val="4"/>
  </w:num>
  <w:num w:numId="4" w16cid:durableId="1277175299">
    <w:abstractNumId w:val="15"/>
  </w:num>
  <w:num w:numId="5" w16cid:durableId="1861695470">
    <w:abstractNumId w:val="5"/>
  </w:num>
  <w:num w:numId="6" w16cid:durableId="41835044">
    <w:abstractNumId w:val="13"/>
  </w:num>
  <w:num w:numId="7" w16cid:durableId="1487699787">
    <w:abstractNumId w:val="14"/>
  </w:num>
  <w:num w:numId="8" w16cid:durableId="1527139109">
    <w:abstractNumId w:val="12"/>
  </w:num>
  <w:num w:numId="9" w16cid:durableId="380440614">
    <w:abstractNumId w:val="7"/>
  </w:num>
  <w:num w:numId="10" w16cid:durableId="432432854">
    <w:abstractNumId w:val="10"/>
  </w:num>
  <w:num w:numId="11" w16cid:durableId="816453041">
    <w:abstractNumId w:val="0"/>
  </w:num>
  <w:num w:numId="12" w16cid:durableId="1435979204">
    <w:abstractNumId w:val="11"/>
  </w:num>
  <w:num w:numId="13" w16cid:durableId="1341933806">
    <w:abstractNumId w:val="1"/>
  </w:num>
  <w:num w:numId="14" w16cid:durableId="611938215">
    <w:abstractNumId w:val="9"/>
  </w:num>
  <w:num w:numId="15" w16cid:durableId="1275745051">
    <w:abstractNumId w:val="6"/>
  </w:num>
  <w:num w:numId="16" w16cid:durableId="801340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5199"/>
    <w:rsid w:val="00027169"/>
    <w:rsid w:val="00037E23"/>
    <w:rsid w:val="000418C8"/>
    <w:rsid w:val="00047D49"/>
    <w:rsid w:val="0005512C"/>
    <w:rsid w:val="000A1B8C"/>
    <w:rsid w:val="000A23C6"/>
    <w:rsid w:val="000B6B5A"/>
    <w:rsid w:val="000F70DD"/>
    <w:rsid w:val="00105198"/>
    <w:rsid w:val="00107CFE"/>
    <w:rsid w:val="00142158"/>
    <w:rsid w:val="00146E29"/>
    <w:rsid w:val="00160F27"/>
    <w:rsid w:val="001818F1"/>
    <w:rsid w:val="00182866"/>
    <w:rsid w:val="001B374F"/>
    <w:rsid w:val="00216099"/>
    <w:rsid w:val="002478C2"/>
    <w:rsid w:val="00262ACE"/>
    <w:rsid w:val="002B5E82"/>
    <w:rsid w:val="002E6F81"/>
    <w:rsid w:val="002F4E34"/>
    <w:rsid w:val="00301090"/>
    <w:rsid w:val="003121A9"/>
    <w:rsid w:val="003208A9"/>
    <w:rsid w:val="003A374B"/>
    <w:rsid w:val="003B2B73"/>
    <w:rsid w:val="00407420"/>
    <w:rsid w:val="00424BCF"/>
    <w:rsid w:val="004336D1"/>
    <w:rsid w:val="00435AE2"/>
    <w:rsid w:val="00460920"/>
    <w:rsid w:val="00473B84"/>
    <w:rsid w:val="0047546C"/>
    <w:rsid w:val="00484A5A"/>
    <w:rsid w:val="00496E70"/>
    <w:rsid w:val="004C0415"/>
    <w:rsid w:val="004D03FB"/>
    <w:rsid w:val="004F4CAD"/>
    <w:rsid w:val="0050667E"/>
    <w:rsid w:val="005225C6"/>
    <w:rsid w:val="00540A23"/>
    <w:rsid w:val="00546D8C"/>
    <w:rsid w:val="005472E9"/>
    <w:rsid w:val="00547615"/>
    <w:rsid w:val="00552D64"/>
    <w:rsid w:val="005617AA"/>
    <w:rsid w:val="005646C4"/>
    <w:rsid w:val="005E0F8C"/>
    <w:rsid w:val="005F3436"/>
    <w:rsid w:val="0063273E"/>
    <w:rsid w:val="006372F6"/>
    <w:rsid w:val="00640E5A"/>
    <w:rsid w:val="00666D7D"/>
    <w:rsid w:val="006E79B1"/>
    <w:rsid w:val="00706BCE"/>
    <w:rsid w:val="00707BAA"/>
    <w:rsid w:val="0072556D"/>
    <w:rsid w:val="00745534"/>
    <w:rsid w:val="007555FA"/>
    <w:rsid w:val="00786039"/>
    <w:rsid w:val="007A5A72"/>
    <w:rsid w:val="007B26F6"/>
    <w:rsid w:val="007B6188"/>
    <w:rsid w:val="007D5D8F"/>
    <w:rsid w:val="007E4382"/>
    <w:rsid w:val="007F7805"/>
    <w:rsid w:val="008150A9"/>
    <w:rsid w:val="0081753A"/>
    <w:rsid w:val="00830730"/>
    <w:rsid w:val="00846DB0"/>
    <w:rsid w:val="008527FF"/>
    <w:rsid w:val="00860F97"/>
    <w:rsid w:val="00892C0E"/>
    <w:rsid w:val="00895867"/>
    <w:rsid w:val="008A1F4D"/>
    <w:rsid w:val="008A27C0"/>
    <w:rsid w:val="008C2CDA"/>
    <w:rsid w:val="008D0E44"/>
    <w:rsid w:val="008E4ABF"/>
    <w:rsid w:val="008F42A5"/>
    <w:rsid w:val="008F6676"/>
    <w:rsid w:val="00906A80"/>
    <w:rsid w:val="009313C9"/>
    <w:rsid w:val="009359F1"/>
    <w:rsid w:val="00955EC8"/>
    <w:rsid w:val="00967E0F"/>
    <w:rsid w:val="00981241"/>
    <w:rsid w:val="009829E6"/>
    <w:rsid w:val="009E5228"/>
    <w:rsid w:val="009E7B31"/>
    <w:rsid w:val="00A10C86"/>
    <w:rsid w:val="00A3590E"/>
    <w:rsid w:val="00A362B4"/>
    <w:rsid w:val="00A37F71"/>
    <w:rsid w:val="00A415FB"/>
    <w:rsid w:val="00A54EA9"/>
    <w:rsid w:val="00A86526"/>
    <w:rsid w:val="00A86841"/>
    <w:rsid w:val="00A8687A"/>
    <w:rsid w:val="00AA026E"/>
    <w:rsid w:val="00AD43C1"/>
    <w:rsid w:val="00AD6C9F"/>
    <w:rsid w:val="00B06E07"/>
    <w:rsid w:val="00B37008"/>
    <w:rsid w:val="00B4250F"/>
    <w:rsid w:val="00B51607"/>
    <w:rsid w:val="00B528C7"/>
    <w:rsid w:val="00B73591"/>
    <w:rsid w:val="00B83FBA"/>
    <w:rsid w:val="00B963A1"/>
    <w:rsid w:val="00BB4126"/>
    <w:rsid w:val="00BB46B1"/>
    <w:rsid w:val="00BB5EF4"/>
    <w:rsid w:val="00C0455B"/>
    <w:rsid w:val="00C44E49"/>
    <w:rsid w:val="00C52A31"/>
    <w:rsid w:val="00C6663E"/>
    <w:rsid w:val="00C84A0F"/>
    <w:rsid w:val="00C86E2E"/>
    <w:rsid w:val="00CF05BC"/>
    <w:rsid w:val="00D23BA2"/>
    <w:rsid w:val="00D40ED6"/>
    <w:rsid w:val="00D5255C"/>
    <w:rsid w:val="00D65734"/>
    <w:rsid w:val="00D8561A"/>
    <w:rsid w:val="00DB54B6"/>
    <w:rsid w:val="00DC78AF"/>
    <w:rsid w:val="00DC7B37"/>
    <w:rsid w:val="00DE1913"/>
    <w:rsid w:val="00E113E2"/>
    <w:rsid w:val="00E21C98"/>
    <w:rsid w:val="00E37AC0"/>
    <w:rsid w:val="00E624DB"/>
    <w:rsid w:val="00E823F2"/>
    <w:rsid w:val="00EA363C"/>
    <w:rsid w:val="00EB3862"/>
    <w:rsid w:val="00EC2408"/>
    <w:rsid w:val="00EC7C09"/>
    <w:rsid w:val="00ED2799"/>
    <w:rsid w:val="00EE4E97"/>
    <w:rsid w:val="00F21208"/>
    <w:rsid w:val="00F33402"/>
    <w:rsid w:val="00F36831"/>
    <w:rsid w:val="00F42258"/>
    <w:rsid w:val="00F53444"/>
    <w:rsid w:val="00F5640C"/>
    <w:rsid w:val="00F80A1F"/>
    <w:rsid w:val="00F94C11"/>
    <w:rsid w:val="00FA439A"/>
    <w:rsid w:val="00FB3358"/>
    <w:rsid w:val="00FD29E3"/>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B83FBA"/>
    <w:pPr>
      <w:ind w:left="720"/>
      <w:contextualSpacing/>
    </w:pPr>
  </w:style>
  <w:style w:type="paragraph" w:customStyle="1" w:styleId="isselectedend">
    <w:name w:val="isselectedend"/>
    <w:basedOn w:val="Normal"/>
    <w:rsid w:val="00666D7D"/>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666D7D"/>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Default">
    <w:name w:val="Default"/>
    <w:rsid w:val="00AD6C9F"/>
    <w:pPr>
      <w:suppressAutoHyphens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6908">
      <w:bodyDiv w:val="1"/>
      <w:marLeft w:val="0"/>
      <w:marRight w:val="0"/>
      <w:marTop w:val="0"/>
      <w:marBottom w:val="0"/>
      <w:divBdr>
        <w:top w:val="none" w:sz="0" w:space="0" w:color="auto"/>
        <w:left w:val="none" w:sz="0" w:space="0" w:color="auto"/>
        <w:bottom w:val="none" w:sz="0" w:space="0" w:color="auto"/>
        <w:right w:val="none" w:sz="0" w:space="0" w:color="auto"/>
      </w:divBdr>
    </w:div>
    <w:div w:id="38399107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52493198">
      <w:bodyDiv w:val="1"/>
      <w:marLeft w:val="0"/>
      <w:marRight w:val="0"/>
      <w:marTop w:val="0"/>
      <w:marBottom w:val="0"/>
      <w:divBdr>
        <w:top w:val="none" w:sz="0" w:space="0" w:color="auto"/>
        <w:left w:val="none" w:sz="0" w:space="0" w:color="auto"/>
        <w:bottom w:val="none" w:sz="0" w:space="0" w:color="auto"/>
        <w:right w:val="none" w:sz="0" w:space="0" w:color="auto"/>
      </w:divBdr>
      <w:divsChild>
        <w:div w:id="375735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65027535">
      <w:bodyDiv w:val="1"/>
      <w:marLeft w:val="0"/>
      <w:marRight w:val="0"/>
      <w:marTop w:val="0"/>
      <w:marBottom w:val="0"/>
      <w:divBdr>
        <w:top w:val="none" w:sz="0" w:space="0" w:color="auto"/>
        <w:left w:val="none" w:sz="0" w:space="0" w:color="auto"/>
        <w:bottom w:val="none" w:sz="0" w:space="0" w:color="auto"/>
        <w:right w:val="none" w:sz="0" w:space="0" w:color="auto"/>
      </w:divBdr>
    </w:div>
    <w:div w:id="1924990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6CF2-D166-4DDA-AF26-EC939E70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2710</Words>
  <Characters>14911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2026-05-26T19:51:00Z</dcterms:created>
  <dcterms:modified xsi:type="dcterms:W3CDTF">2026-05-26T19:51:00Z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